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7D4FD" w14:textId="5D000758" w:rsidR="00384E70" w:rsidRPr="0043755E" w:rsidRDefault="00384E70" w:rsidP="0043755E">
      <w:pPr>
        <w:spacing w:after="200" w:line="276" w:lineRule="auto"/>
        <w:jc w:val="right"/>
        <w:rPr>
          <w:sz w:val="24"/>
          <w:szCs w:val="24"/>
        </w:rPr>
      </w:pPr>
      <w:bookmarkStart w:id="0" w:name="_GoBack"/>
      <w:bookmarkEnd w:id="0"/>
      <w:r w:rsidRPr="00384E70">
        <w:rPr>
          <w:sz w:val="22"/>
          <w:szCs w:val="22"/>
        </w:rPr>
        <w:t>Pielikums Nr. 5</w:t>
      </w:r>
    </w:p>
    <w:p w14:paraId="46C2B491" w14:textId="77777777" w:rsidR="00384E70" w:rsidRPr="00384E70" w:rsidRDefault="00384E70" w:rsidP="00384E70">
      <w:pPr>
        <w:jc w:val="right"/>
        <w:rPr>
          <w:sz w:val="22"/>
          <w:szCs w:val="22"/>
        </w:rPr>
      </w:pPr>
      <w:r w:rsidRPr="00384E70">
        <w:rPr>
          <w:sz w:val="22"/>
          <w:szCs w:val="22"/>
        </w:rPr>
        <w:t>Amatas novada pašvaldības saistošajiem noteikumiem Nr. 2</w:t>
      </w:r>
    </w:p>
    <w:p w14:paraId="36960388" w14:textId="77777777" w:rsidR="00384E70" w:rsidRPr="00384E70" w:rsidRDefault="00384E70" w:rsidP="00384E70">
      <w:pPr>
        <w:jc w:val="right"/>
        <w:rPr>
          <w:sz w:val="22"/>
          <w:szCs w:val="22"/>
        </w:rPr>
      </w:pPr>
      <w:r w:rsidRPr="00384E70">
        <w:rPr>
          <w:sz w:val="22"/>
          <w:szCs w:val="22"/>
        </w:rPr>
        <w:t>apstiprināti ar Amatas novada domes</w:t>
      </w:r>
    </w:p>
    <w:p w14:paraId="34123E9D" w14:textId="77777777" w:rsidR="00384E70" w:rsidRPr="00384E70" w:rsidRDefault="00384E70" w:rsidP="00384E70">
      <w:pPr>
        <w:jc w:val="right"/>
        <w:rPr>
          <w:sz w:val="22"/>
          <w:szCs w:val="22"/>
        </w:rPr>
      </w:pPr>
      <w:r w:rsidRPr="00384E70">
        <w:rPr>
          <w:sz w:val="22"/>
          <w:szCs w:val="22"/>
        </w:rPr>
        <w:t xml:space="preserve">22.01.2020. sēdes lēmumu Nr. 1 </w:t>
      </w:r>
    </w:p>
    <w:p w14:paraId="3AF8EE71" w14:textId="77777777" w:rsidR="00384E70" w:rsidRPr="00384E70" w:rsidRDefault="00384E70" w:rsidP="00384E70">
      <w:pPr>
        <w:jc w:val="right"/>
        <w:rPr>
          <w:sz w:val="22"/>
          <w:szCs w:val="22"/>
        </w:rPr>
      </w:pPr>
      <w:r w:rsidRPr="00384E70">
        <w:rPr>
          <w:sz w:val="22"/>
          <w:szCs w:val="22"/>
        </w:rPr>
        <w:t>(sēdes protokols Nr. 3)</w:t>
      </w:r>
    </w:p>
    <w:p w14:paraId="7AE043FB" w14:textId="77777777" w:rsidR="00384E70" w:rsidRPr="00384E70" w:rsidRDefault="00384E70" w:rsidP="00384E70">
      <w:pPr>
        <w:keepNext/>
        <w:outlineLvl w:val="0"/>
        <w:rPr>
          <w:b/>
          <w:sz w:val="22"/>
          <w:szCs w:val="22"/>
        </w:rPr>
      </w:pPr>
    </w:p>
    <w:p w14:paraId="089CF9B6" w14:textId="77777777" w:rsidR="00384E70" w:rsidRPr="00384E70" w:rsidRDefault="00384E70" w:rsidP="00384E70">
      <w:pPr>
        <w:keepNext/>
        <w:jc w:val="center"/>
        <w:outlineLvl w:val="0"/>
        <w:rPr>
          <w:b/>
          <w:sz w:val="24"/>
          <w:szCs w:val="24"/>
        </w:rPr>
      </w:pPr>
      <w:r w:rsidRPr="00384E70">
        <w:rPr>
          <w:b/>
          <w:sz w:val="24"/>
          <w:szCs w:val="24"/>
        </w:rPr>
        <w:t>Paskaidrojuma raksts par</w:t>
      </w:r>
    </w:p>
    <w:p w14:paraId="0924629C" w14:textId="77777777" w:rsidR="00384E70" w:rsidRPr="00384E70" w:rsidRDefault="00384E70" w:rsidP="00384E70">
      <w:pPr>
        <w:keepNext/>
        <w:jc w:val="center"/>
        <w:outlineLvl w:val="0"/>
        <w:rPr>
          <w:b/>
          <w:sz w:val="24"/>
          <w:szCs w:val="24"/>
        </w:rPr>
      </w:pPr>
      <w:r w:rsidRPr="00384E70">
        <w:rPr>
          <w:b/>
          <w:sz w:val="24"/>
          <w:szCs w:val="24"/>
        </w:rPr>
        <w:t>Amatas novada pašvaldības 2020. gada budžetu</w:t>
      </w:r>
    </w:p>
    <w:p w14:paraId="53E7A395" w14:textId="77777777" w:rsidR="00384E70" w:rsidRPr="00384E70" w:rsidRDefault="00384E70" w:rsidP="00384E70">
      <w:pPr>
        <w:spacing w:before="100" w:beforeAutospacing="1" w:after="100" w:afterAutospacing="1"/>
        <w:ind w:firstLine="720"/>
        <w:jc w:val="both"/>
        <w:rPr>
          <w:sz w:val="22"/>
          <w:szCs w:val="22"/>
        </w:rPr>
      </w:pPr>
      <w:r w:rsidRPr="00384E70">
        <w:rPr>
          <w:sz w:val="22"/>
          <w:szCs w:val="22"/>
        </w:rPr>
        <w:t>Budžets ir pašvaldības finansiālās darbības pamats un finanšu instruments, ar kuru tā nodrošina savu autonomo funkciju izpildi, kā arī veic ekonomisko un sociālo vajadzību sabalansēšanu ar pašvaldības finansiālajām iespējām.</w:t>
      </w:r>
      <w:r w:rsidRPr="00384E70">
        <w:rPr>
          <w:color w:val="800000"/>
          <w:sz w:val="22"/>
          <w:szCs w:val="22"/>
        </w:rPr>
        <w:t xml:space="preserve"> </w:t>
      </w:r>
      <w:r w:rsidRPr="00384E70">
        <w:rPr>
          <w:sz w:val="22"/>
          <w:szCs w:val="22"/>
        </w:rPr>
        <w:t> </w:t>
      </w:r>
    </w:p>
    <w:p w14:paraId="787B6BB5" w14:textId="77777777" w:rsidR="00384E70" w:rsidRPr="00384E70" w:rsidRDefault="00384E70" w:rsidP="00384E70">
      <w:pPr>
        <w:spacing w:before="100" w:beforeAutospacing="1" w:after="100" w:afterAutospacing="1"/>
        <w:ind w:firstLine="720"/>
        <w:jc w:val="both"/>
        <w:rPr>
          <w:sz w:val="22"/>
          <w:szCs w:val="22"/>
        </w:rPr>
      </w:pPr>
      <w:r w:rsidRPr="00384E70">
        <w:rPr>
          <w:sz w:val="22"/>
          <w:szCs w:val="22"/>
        </w:rPr>
        <w:t>Amatas novada pašvaldības budžets 2020. gadam izstrādāts, ievērojot likumos „Par pašvaldību budžetiem”, ”Par pašvaldībām”, „Par budžetu un finanšu vadību”, kā arī nodokļu likumos, LR Ministru kabineta noteikumos un citos likumdošanas aktos izvirzītās prasības.</w:t>
      </w:r>
    </w:p>
    <w:p w14:paraId="31E00421" w14:textId="77777777" w:rsidR="00384E70" w:rsidRPr="00384E70" w:rsidRDefault="00384E70" w:rsidP="00384E70">
      <w:pPr>
        <w:ind w:firstLine="720"/>
        <w:jc w:val="both"/>
        <w:rPr>
          <w:color w:val="000000" w:themeColor="text1"/>
          <w:sz w:val="22"/>
          <w:szCs w:val="22"/>
        </w:rPr>
      </w:pPr>
      <w:r w:rsidRPr="00384E70">
        <w:rPr>
          <w:color w:val="000000" w:themeColor="text1"/>
          <w:sz w:val="22"/>
          <w:szCs w:val="22"/>
        </w:rPr>
        <w:t>Šī gada budžetu raksturo galvenās prioritātes: pašvaldībā esošo visu izglītības iestāžu funkciju nodrošināšana līdz 2019./2020. mācību gada beigām, izdevumu palielināšana neatliekamām sociālajām vajadzībām maznodrošinātajai sabiedrības daļai, Eiropas Savienības (ES) struktūrfondu projektu realizācija, tehniskās dokumentācijas sagatavošana nākotnes Eiropas Savienības strukturēto fondu projektiem.</w:t>
      </w:r>
    </w:p>
    <w:p w14:paraId="7A0B25C0" w14:textId="77777777" w:rsidR="00384E70" w:rsidRPr="00384E70" w:rsidRDefault="00384E70" w:rsidP="00384E70">
      <w:pPr>
        <w:ind w:firstLine="720"/>
        <w:jc w:val="both"/>
        <w:rPr>
          <w:sz w:val="22"/>
          <w:szCs w:val="22"/>
        </w:rPr>
      </w:pPr>
    </w:p>
    <w:p w14:paraId="18B426B2" w14:textId="77777777" w:rsidR="00384E70" w:rsidRPr="00384E70" w:rsidRDefault="00384E70" w:rsidP="00384E70">
      <w:pPr>
        <w:jc w:val="center"/>
        <w:rPr>
          <w:b/>
          <w:sz w:val="24"/>
          <w:szCs w:val="24"/>
        </w:rPr>
      </w:pPr>
      <w:r w:rsidRPr="00384E70">
        <w:rPr>
          <w:b/>
          <w:sz w:val="24"/>
          <w:szCs w:val="24"/>
        </w:rPr>
        <w:t>Budžeta ieņēmumi</w:t>
      </w:r>
    </w:p>
    <w:p w14:paraId="523D3C86" w14:textId="77777777" w:rsidR="00384E70" w:rsidRPr="00384E70" w:rsidRDefault="00384E70" w:rsidP="00384E70">
      <w:pPr>
        <w:spacing w:before="100" w:beforeAutospacing="1" w:after="100" w:afterAutospacing="1"/>
        <w:ind w:firstLine="720"/>
        <w:jc w:val="both"/>
        <w:rPr>
          <w:sz w:val="22"/>
          <w:szCs w:val="22"/>
        </w:rPr>
      </w:pPr>
      <w:r w:rsidRPr="00384E70">
        <w:rPr>
          <w:b/>
          <w:sz w:val="22"/>
          <w:szCs w:val="22"/>
        </w:rPr>
        <w:t>Amatas novada pašvaldības budžeta</w:t>
      </w:r>
      <w:r w:rsidRPr="00384E70">
        <w:rPr>
          <w:sz w:val="22"/>
          <w:szCs w:val="22"/>
        </w:rPr>
        <w:t xml:space="preserve"> </w:t>
      </w:r>
      <w:r w:rsidRPr="00384E70">
        <w:rPr>
          <w:b/>
          <w:sz w:val="22"/>
          <w:szCs w:val="22"/>
        </w:rPr>
        <w:t xml:space="preserve">2020. gada ieņēmumi plānoti 8 217 177 EUR apmērā. </w:t>
      </w:r>
      <w:r w:rsidRPr="00384E70">
        <w:rPr>
          <w:sz w:val="22"/>
          <w:szCs w:val="22"/>
        </w:rPr>
        <w:t xml:space="preserve">Pašvaldības budžeta ieņēmumu palielinājums ir 12,71%, salīdzinot ar 2019. gada budžetā plānotajiem ieņēmumiem. Šāds budžeta pieaugums veidojas, jo 2020. gadā vairs netiek atdalīts speciālais budžets, tas ir iekļauts iestādes pamatbudžetā un veido vienoto iestādes budžetu. </w:t>
      </w:r>
    </w:p>
    <w:p w14:paraId="1247D3EC" w14:textId="77777777" w:rsidR="00384E70" w:rsidRPr="00384E70" w:rsidRDefault="00384E70" w:rsidP="00384E70">
      <w:pPr>
        <w:spacing w:before="100" w:beforeAutospacing="1" w:after="100" w:afterAutospacing="1"/>
        <w:ind w:firstLine="720"/>
        <w:jc w:val="both"/>
        <w:rPr>
          <w:sz w:val="22"/>
          <w:szCs w:val="22"/>
        </w:rPr>
      </w:pPr>
      <w:r w:rsidRPr="00384E70">
        <w:rPr>
          <w:sz w:val="22"/>
          <w:szCs w:val="22"/>
        </w:rPr>
        <w:t xml:space="preserve">Pašvaldības budžeta ieņēmumus veido: </w:t>
      </w:r>
      <w:r w:rsidRPr="00384E70">
        <w:rPr>
          <w:i/>
          <w:sz w:val="22"/>
          <w:szCs w:val="22"/>
        </w:rPr>
        <w:t>nodokļu ieņēmumi</w:t>
      </w:r>
      <w:r w:rsidRPr="00384E70">
        <w:rPr>
          <w:sz w:val="22"/>
          <w:szCs w:val="22"/>
        </w:rPr>
        <w:t xml:space="preserve"> – iedzīvotāju ienākuma nodoklis, nekustamā īpašuma nodoklis; </w:t>
      </w:r>
      <w:r w:rsidRPr="00384E70">
        <w:rPr>
          <w:i/>
          <w:sz w:val="22"/>
          <w:szCs w:val="22"/>
        </w:rPr>
        <w:t>nenodokļu ieņēmumi</w:t>
      </w:r>
      <w:r w:rsidRPr="00384E70">
        <w:rPr>
          <w:sz w:val="22"/>
          <w:szCs w:val="22"/>
        </w:rPr>
        <w:t xml:space="preserve">, kuros ietilpst valsts un pašvaldību nodevas, naudas sodi, procentu ieņēmumi par kontu atlikumiem un ieņēmumi no pašvaldību īpašuma pārdošanas; </w:t>
      </w:r>
      <w:r w:rsidRPr="00384E70">
        <w:rPr>
          <w:i/>
          <w:sz w:val="22"/>
          <w:szCs w:val="22"/>
        </w:rPr>
        <w:t>transfertu ieņēmumi</w:t>
      </w:r>
      <w:r w:rsidRPr="00384E70">
        <w:rPr>
          <w:sz w:val="22"/>
          <w:szCs w:val="22"/>
        </w:rPr>
        <w:t xml:space="preserve"> no valsts un pašvaldību budžetiem un </w:t>
      </w:r>
      <w:r w:rsidRPr="00384E70">
        <w:rPr>
          <w:i/>
          <w:sz w:val="22"/>
          <w:szCs w:val="22"/>
        </w:rPr>
        <w:t>budžeta iestāžu ieņēmumi</w:t>
      </w:r>
      <w:r w:rsidRPr="00384E70">
        <w:rPr>
          <w:sz w:val="22"/>
          <w:szCs w:val="22"/>
        </w:rPr>
        <w:t>. </w:t>
      </w:r>
    </w:p>
    <w:p w14:paraId="6899C625" w14:textId="77777777" w:rsidR="00384E70" w:rsidRPr="00384E70" w:rsidRDefault="00384E70" w:rsidP="00384E70">
      <w:pPr>
        <w:ind w:firstLine="720"/>
        <w:jc w:val="both"/>
        <w:rPr>
          <w:bCs/>
          <w:iCs/>
          <w:sz w:val="22"/>
          <w:szCs w:val="22"/>
        </w:rPr>
      </w:pPr>
      <w:r w:rsidRPr="00384E70">
        <w:rPr>
          <w:i/>
          <w:sz w:val="22"/>
          <w:szCs w:val="22"/>
        </w:rPr>
        <w:t>Nodokļu ieņēmumi</w:t>
      </w:r>
      <w:r w:rsidRPr="00384E70">
        <w:rPr>
          <w:sz w:val="22"/>
          <w:szCs w:val="22"/>
        </w:rPr>
        <w:t xml:space="preserve">. 2020. gadā Amatas novada pašvaldības budžeta ieņēmumi no nodokļiem plānoti 3 266 515 EUR jeb par 3,96% mazāk kā plānoti 2019. gada budžetā. </w:t>
      </w:r>
    </w:p>
    <w:p w14:paraId="6E53693B" w14:textId="77777777" w:rsidR="00384E70" w:rsidRPr="00384E70" w:rsidRDefault="00384E70" w:rsidP="00384E70">
      <w:pPr>
        <w:spacing w:before="100" w:beforeAutospacing="1" w:after="100" w:afterAutospacing="1"/>
        <w:ind w:firstLine="720"/>
        <w:jc w:val="both"/>
        <w:rPr>
          <w:sz w:val="22"/>
          <w:szCs w:val="22"/>
        </w:rPr>
      </w:pPr>
      <w:r w:rsidRPr="00384E70">
        <w:rPr>
          <w:sz w:val="22"/>
          <w:szCs w:val="22"/>
        </w:rPr>
        <w:t xml:space="preserve">Lielākais īpatsvars nodokļu ieņēmumos ir iedzīvotāju ienākuma nodoklim (84,69%) un nekustamā īpašuma nodoklim (14,43%). Iedzīvotāju ienākuma nodokļa ieņēmumi plānoti 2 766 515 EUR jeb par 5,39% mazāk kā 2019. gada budžetā. </w:t>
      </w:r>
    </w:p>
    <w:p w14:paraId="10F8FCF0" w14:textId="77777777" w:rsidR="00384E70" w:rsidRPr="00384E70" w:rsidRDefault="00384E70" w:rsidP="00384E70">
      <w:pPr>
        <w:ind w:firstLine="720"/>
        <w:jc w:val="both"/>
        <w:rPr>
          <w:sz w:val="22"/>
          <w:szCs w:val="22"/>
        </w:rPr>
      </w:pPr>
      <w:r w:rsidRPr="00384E70">
        <w:rPr>
          <w:sz w:val="22"/>
          <w:szCs w:val="22"/>
        </w:rPr>
        <w:t>Nekustamā īpašuma nodokļa ieņēmumi ir plānoti 471 500 EUR jeb par 1,13% mazāk nekā 2019. gada budžetā.</w:t>
      </w:r>
    </w:p>
    <w:p w14:paraId="3B0C4A72" w14:textId="77777777" w:rsidR="00384E70" w:rsidRPr="00384E70" w:rsidRDefault="00384E70" w:rsidP="00384E70">
      <w:pPr>
        <w:jc w:val="both"/>
        <w:rPr>
          <w:sz w:val="22"/>
          <w:szCs w:val="22"/>
        </w:rPr>
      </w:pPr>
    </w:p>
    <w:p w14:paraId="6190C749" w14:textId="77777777" w:rsidR="00384E70" w:rsidRPr="00384E70" w:rsidRDefault="00384E70" w:rsidP="00384E70">
      <w:pPr>
        <w:ind w:firstLine="720"/>
        <w:jc w:val="both"/>
        <w:rPr>
          <w:sz w:val="22"/>
          <w:szCs w:val="22"/>
        </w:rPr>
      </w:pPr>
      <w:r w:rsidRPr="00384E70">
        <w:rPr>
          <w:i/>
          <w:sz w:val="22"/>
          <w:szCs w:val="22"/>
        </w:rPr>
        <w:t>Nenodokļu ieņēmumus</w:t>
      </w:r>
      <w:r w:rsidRPr="00384E70">
        <w:rPr>
          <w:sz w:val="22"/>
          <w:szCs w:val="22"/>
        </w:rPr>
        <w:t xml:space="preserve"> 2020. gadā plānots iekasēt 233 332 EUR apmērā jeb par 30,05% mazāk kā 2019. gadā. Šos ieņēmumus veido procentu ieņēmumi par kontu atlikumiem, valsts un pašvaldību nodevas, naudas sodi un sankcijas, kā arī ieņēmumi no pašvaldību īpašumu pārdošanas. </w:t>
      </w:r>
    </w:p>
    <w:p w14:paraId="0A3A2D7D" w14:textId="77777777" w:rsidR="00384E70" w:rsidRPr="00384E70" w:rsidRDefault="00384E70" w:rsidP="00384E70">
      <w:pPr>
        <w:jc w:val="both"/>
        <w:rPr>
          <w:sz w:val="22"/>
          <w:szCs w:val="22"/>
        </w:rPr>
      </w:pPr>
    </w:p>
    <w:p w14:paraId="74EFD273" w14:textId="77777777" w:rsidR="00384E70" w:rsidRPr="00384E70" w:rsidRDefault="00384E70" w:rsidP="00384E70">
      <w:pPr>
        <w:ind w:firstLine="720"/>
        <w:jc w:val="both"/>
        <w:rPr>
          <w:sz w:val="22"/>
          <w:szCs w:val="22"/>
        </w:rPr>
      </w:pPr>
      <w:r w:rsidRPr="00384E70">
        <w:rPr>
          <w:i/>
          <w:sz w:val="22"/>
          <w:szCs w:val="22"/>
        </w:rPr>
        <w:t>Transfertu ieņēmumi</w:t>
      </w:r>
      <w:r w:rsidRPr="00384E70">
        <w:rPr>
          <w:sz w:val="22"/>
          <w:szCs w:val="22"/>
        </w:rPr>
        <w:t xml:space="preserve"> (ieņēmumi, ko pašvaldība saņem no valsts vai citu pašvaldību budžetiem) 2020. gadā plānoti 4 241 693 EUR jeb par 38,02% vairāk nekā 2019. gadā. Ieņēmumi no valsts budžeta plānoti 3 843 482 EUR, šajos ieņēmumos ir uzskaitīta arī valsts dotācija autoceļu uzturēšanai, kas iepriekšējos gados tika atdalīta speciālajā budžetā. Ieņēmumi no citām pašvaldībām 395 211 EUR. </w:t>
      </w:r>
    </w:p>
    <w:p w14:paraId="2F696EE7" w14:textId="77777777" w:rsidR="00384E70" w:rsidRPr="00384E70" w:rsidRDefault="00384E70" w:rsidP="00384E70">
      <w:pPr>
        <w:jc w:val="both"/>
        <w:rPr>
          <w:sz w:val="22"/>
          <w:szCs w:val="22"/>
        </w:rPr>
      </w:pPr>
    </w:p>
    <w:p w14:paraId="7AD067C2" w14:textId="2974242A" w:rsidR="00384E70" w:rsidRPr="00384E70" w:rsidRDefault="00384E70" w:rsidP="00384E70">
      <w:pPr>
        <w:ind w:firstLine="720"/>
        <w:jc w:val="both"/>
      </w:pPr>
      <w:r w:rsidRPr="00384E70">
        <w:rPr>
          <w:i/>
          <w:sz w:val="22"/>
          <w:szCs w:val="22"/>
        </w:rPr>
        <w:lastRenderedPageBreak/>
        <w:t>Budžeta iestāžu ieņēmumi</w:t>
      </w:r>
      <w:r w:rsidRPr="00384E70">
        <w:rPr>
          <w:sz w:val="22"/>
          <w:szCs w:val="22"/>
        </w:rPr>
        <w:t xml:space="preserve"> 2020. gadā plānoti 637 475 EUR jeb 1,4% mazāk kā 2019. gadā. Šos ieņēmumus – 14,75% jeb 70 139 EUR ir plānots iekasēt par izglītības iestāžu maksas pakalpojumiem, 5% jeb 23 832 EUR par nomu un īri un 79,93% jeb 380 156 EUR par pārējiem budžeta iestāžu sniegtajiem maksas pakalpojumiem un citiem pašu ieņēmumiem.</w:t>
      </w:r>
      <w:r w:rsidRPr="00384E70">
        <w:t xml:space="preserve">          </w:t>
      </w:r>
    </w:p>
    <w:p w14:paraId="2829877F" w14:textId="77777777" w:rsidR="00384E70" w:rsidRPr="00384E70" w:rsidRDefault="00384E70" w:rsidP="00384E70">
      <w:pPr>
        <w:jc w:val="both"/>
      </w:pPr>
    </w:p>
    <w:p w14:paraId="5C3FDD17" w14:textId="77777777" w:rsidR="00384E70" w:rsidRPr="00384E70" w:rsidRDefault="00384E70" w:rsidP="00384E70">
      <w:pPr>
        <w:jc w:val="both"/>
      </w:pPr>
    </w:p>
    <w:p w14:paraId="19119FE9" w14:textId="77777777" w:rsidR="00384E70" w:rsidRPr="00384E70" w:rsidRDefault="00384E70" w:rsidP="00384E70">
      <w:pPr>
        <w:jc w:val="both"/>
      </w:pPr>
    </w:p>
    <w:p w14:paraId="54307E57" w14:textId="77777777" w:rsidR="00384E70" w:rsidRPr="00384E70" w:rsidRDefault="00384E70" w:rsidP="00384E70">
      <w:pPr>
        <w:jc w:val="both"/>
      </w:pPr>
    </w:p>
    <w:p w14:paraId="636BC17F" w14:textId="77777777" w:rsidR="00384E70" w:rsidRPr="00384E70" w:rsidRDefault="00384E70" w:rsidP="00384E70">
      <w:pPr>
        <w:jc w:val="both"/>
      </w:pPr>
      <w:r w:rsidRPr="00384E70">
        <w:rPr>
          <w:rFonts w:asciiTheme="minorHAnsi" w:eastAsiaTheme="minorHAnsi" w:hAnsiTheme="minorHAnsi" w:cstheme="minorBidi"/>
          <w:noProof/>
          <w:sz w:val="22"/>
          <w:szCs w:val="22"/>
        </w:rPr>
        <w:drawing>
          <wp:inline distT="0" distB="0" distL="0" distR="0" wp14:anchorId="013B0276" wp14:editId="4FDA1380">
            <wp:extent cx="5962650" cy="3124200"/>
            <wp:effectExtent l="0" t="0" r="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7EB0293" w14:textId="77777777" w:rsidR="00384E70" w:rsidRPr="00384E70" w:rsidRDefault="00384E70" w:rsidP="00384E70">
      <w:pPr>
        <w:ind w:left="567"/>
        <w:jc w:val="both"/>
      </w:pPr>
    </w:p>
    <w:p w14:paraId="4DCE8849" w14:textId="77777777" w:rsidR="00384E70" w:rsidRPr="00384E70" w:rsidRDefault="00384E70" w:rsidP="00384E70">
      <w:pPr>
        <w:jc w:val="both"/>
      </w:pPr>
      <w:r w:rsidRPr="00384E70">
        <w:t xml:space="preserve">   </w:t>
      </w:r>
    </w:p>
    <w:p w14:paraId="074F2BEB" w14:textId="77777777" w:rsidR="00384E70" w:rsidRPr="00384E70" w:rsidRDefault="00384E70" w:rsidP="00384E70">
      <w:pPr>
        <w:ind w:firstLine="720"/>
        <w:jc w:val="both"/>
        <w:rPr>
          <w:sz w:val="22"/>
          <w:szCs w:val="22"/>
        </w:rPr>
      </w:pPr>
    </w:p>
    <w:p w14:paraId="03549038" w14:textId="77777777" w:rsidR="00384E70" w:rsidRPr="00384E70" w:rsidRDefault="00384E70" w:rsidP="00384E70">
      <w:pPr>
        <w:ind w:firstLine="720"/>
        <w:jc w:val="both"/>
        <w:rPr>
          <w:sz w:val="22"/>
          <w:szCs w:val="22"/>
        </w:rPr>
      </w:pPr>
      <w:r w:rsidRPr="00384E70">
        <w:rPr>
          <w:sz w:val="22"/>
          <w:szCs w:val="22"/>
        </w:rPr>
        <w:t>Budžeta plānotie valsts dotācijas ieņēmumi autoceļiem un dabas resursu nodoklim 2019. gadā  paredzēti 337 500 EUR apmērā, kas ir par 0,7% vairāk nekā 2019. gadā plānotie budžeta ieņēmumi. Autoceļu fonda ieņēmumi šajā gadā ir plānoti 309 000 EUR, kas ir tikpat, cik 2019. gada budžetā, ieņēmumi no dabas resursu nodokļa ir plānoti 28 500 EUR jeb par 14% vairāk kā 2019. gadā.</w:t>
      </w:r>
    </w:p>
    <w:p w14:paraId="5E2D7082" w14:textId="77777777" w:rsidR="00384E70" w:rsidRPr="00384E70" w:rsidRDefault="00384E70" w:rsidP="00384E70">
      <w:pPr>
        <w:jc w:val="both"/>
        <w:rPr>
          <w:sz w:val="22"/>
          <w:szCs w:val="22"/>
        </w:rPr>
      </w:pPr>
    </w:p>
    <w:p w14:paraId="12492286" w14:textId="77777777" w:rsidR="00384E70" w:rsidRPr="00384E70" w:rsidRDefault="00384E70" w:rsidP="00384E70">
      <w:pPr>
        <w:spacing w:before="240" w:after="100" w:afterAutospacing="1"/>
        <w:jc w:val="center"/>
        <w:rPr>
          <w:rFonts w:ascii="Verdana" w:hAnsi="Verdana"/>
        </w:rPr>
      </w:pPr>
      <w:r w:rsidRPr="00384E70">
        <w:rPr>
          <w:rFonts w:asciiTheme="minorHAnsi" w:eastAsiaTheme="minorHAnsi" w:hAnsiTheme="minorHAnsi" w:cstheme="minorBidi"/>
          <w:noProof/>
          <w:sz w:val="22"/>
          <w:szCs w:val="22"/>
        </w:rPr>
        <w:drawing>
          <wp:inline distT="0" distB="0" distL="0" distR="0" wp14:anchorId="7C2AFCE6" wp14:editId="18350256">
            <wp:extent cx="4872038" cy="3228975"/>
            <wp:effectExtent l="0" t="0" r="508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40D111F" w14:textId="6D280401" w:rsidR="00384E70" w:rsidRPr="00384E70" w:rsidRDefault="00384E70" w:rsidP="00384E70">
      <w:pPr>
        <w:jc w:val="both"/>
        <w:rPr>
          <w:rFonts w:ascii="Verdana" w:hAnsi="Verdana"/>
        </w:rPr>
      </w:pPr>
      <w:r w:rsidRPr="00384E70">
        <w:rPr>
          <w:rFonts w:ascii="Verdana" w:hAnsi="Verdana"/>
        </w:rPr>
        <w:lastRenderedPageBreak/>
        <w:t xml:space="preserve">                                      </w:t>
      </w:r>
    </w:p>
    <w:p w14:paraId="7456AA4D" w14:textId="77777777" w:rsidR="00384E70" w:rsidRPr="00384E70" w:rsidRDefault="00384E70" w:rsidP="00384E70">
      <w:pPr>
        <w:jc w:val="center"/>
        <w:rPr>
          <w:b/>
          <w:sz w:val="24"/>
          <w:szCs w:val="24"/>
        </w:rPr>
      </w:pPr>
      <w:r w:rsidRPr="00384E70">
        <w:rPr>
          <w:b/>
          <w:sz w:val="24"/>
          <w:szCs w:val="24"/>
        </w:rPr>
        <w:t>Budžeta izdevumi</w:t>
      </w:r>
    </w:p>
    <w:p w14:paraId="3BD03639" w14:textId="77777777" w:rsidR="00384E70" w:rsidRPr="00384E70" w:rsidRDefault="00384E70" w:rsidP="00384E70">
      <w:pPr>
        <w:jc w:val="both"/>
        <w:rPr>
          <w:b/>
          <w:sz w:val="22"/>
          <w:szCs w:val="22"/>
        </w:rPr>
      </w:pPr>
    </w:p>
    <w:p w14:paraId="3DBCF210" w14:textId="77777777" w:rsidR="00384E70" w:rsidRPr="00384E70" w:rsidRDefault="00384E70" w:rsidP="00384E70">
      <w:pPr>
        <w:ind w:firstLine="720"/>
        <w:jc w:val="both"/>
        <w:rPr>
          <w:sz w:val="22"/>
          <w:szCs w:val="22"/>
        </w:rPr>
      </w:pPr>
      <w:r w:rsidRPr="00384E70">
        <w:rPr>
          <w:sz w:val="22"/>
          <w:szCs w:val="22"/>
        </w:rPr>
        <w:t>Budžeta izdevumi plānoti pēc nulles principa, ņemot vērā reālās finanšu iespējas un nodrošinot pašvaldības attīstības galvenos uzdevumus, piesaistot ES struktūrfondu līdzekļus.</w:t>
      </w:r>
    </w:p>
    <w:p w14:paraId="149F22FC" w14:textId="77777777" w:rsidR="00384E70" w:rsidRPr="00384E70" w:rsidRDefault="00384E70" w:rsidP="00384E70">
      <w:pPr>
        <w:ind w:firstLine="720"/>
        <w:jc w:val="both"/>
        <w:rPr>
          <w:sz w:val="22"/>
          <w:szCs w:val="22"/>
        </w:rPr>
      </w:pPr>
      <w:r w:rsidRPr="00384E70">
        <w:rPr>
          <w:sz w:val="22"/>
          <w:szCs w:val="22"/>
        </w:rPr>
        <w:t> </w:t>
      </w:r>
    </w:p>
    <w:p w14:paraId="380DE8DA" w14:textId="77777777" w:rsidR="00384E70" w:rsidRPr="00384E70" w:rsidRDefault="00384E70" w:rsidP="00384E70">
      <w:pPr>
        <w:ind w:firstLine="720"/>
        <w:jc w:val="both"/>
        <w:rPr>
          <w:sz w:val="22"/>
          <w:szCs w:val="22"/>
        </w:rPr>
      </w:pPr>
      <w:r w:rsidRPr="00384E70">
        <w:rPr>
          <w:b/>
          <w:sz w:val="22"/>
          <w:szCs w:val="22"/>
        </w:rPr>
        <w:t xml:space="preserve">Amatas novada pašvaldības budžeta 2020. gada izdevumi plānoti 9 154 665 EUR apmērā. </w:t>
      </w:r>
      <w:r w:rsidRPr="00384E70">
        <w:rPr>
          <w:sz w:val="22"/>
          <w:szCs w:val="22"/>
        </w:rPr>
        <w:t>Pašvaldības budžeta izdevumu palielinājums ir par 8,28%, salīdzinot ar 2019. gada budžeta plānotajiem izdevumiem. Visi pašvaldības plānotie kopējie izdevumi pēc savas ekonomiskās būtības iedalīti deviņās (pavisam tās ir desmit) funkcionālajās kategorijās.</w:t>
      </w:r>
    </w:p>
    <w:p w14:paraId="08AABBBB" w14:textId="77777777" w:rsidR="00384E70" w:rsidRPr="00384E70" w:rsidRDefault="00384E70" w:rsidP="00384E70">
      <w:pPr>
        <w:ind w:firstLine="720"/>
        <w:jc w:val="both"/>
        <w:rPr>
          <w:sz w:val="22"/>
          <w:szCs w:val="22"/>
        </w:rPr>
      </w:pPr>
    </w:p>
    <w:p w14:paraId="18F0A1D1" w14:textId="77777777" w:rsidR="00384E70" w:rsidRPr="00384E70" w:rsidRDefault="00384E70" w:rsidP="00384E70">
      <w:pPr>
        <w:ind w:firstLine="720"/>
        <w:jc w:val="both"/>
        <w:rPr>
          <w:sz w:val="22"/>
          <w:szCs w:val="22"/>
        </w:rPr>
      </w:pPr>
    </w:p>
    <w:p w14:paraId="627CA132" w14:textId="77777777" w:rsidR="00384E70" w:rsidRPr="00384E70" w:rsidRDefault="00384E70" w:rsidP="00384E70">
      <w:pPr>
        <w:ind w:firstLine="720"/>
        <w:jc w:val="both"/>
        <w:rPr>
          <w:sz w:val="22"/>
          <w:szCs w:val="22"/>
        </w:rPr>
      </w:pPr>
      <w:r w:rsidRPr="00384E70">
        <w:rPr>
          <w:rFonts w:asciiTheme="minorHAnsi" w:eastAsiaTheme="minorHAnsi" w:hAnsiTheme="minorHAnsi" w:cstheme="minorBidi"/>
          <w:noProof/>
          <w:sz w:val="22"/>
          <w:szCs w:val="22"/>
        </w:rPr>
        <w:drawing>
          <wp:anchor distT="0" distB="0" distL="114300" distR="114300" simplePos="0" relativeHeight="251665408" behindDoc="1" locked="0" layoutInCell="1" allowOverlap="1" wp14:anchorId="44A75D9B" wp14:editId="63BEDE45">
            <wp:simplePos x="0" y="0"/>
            <wp:positionH relativeFrom="column">
              <wp:posOffset>-390525</wp:posOffset>
            </wp:positionH>
            <wp:positionV relativeFrom="paragraph">
              <wp:posOffset>417830</wp:posOffset>
            </wp:positionV>
            <wp:extent cx="6172200" cy="4257675"/>
            <wp:effectExtent l="0" t="0" r="0" b="0"/>
            <wp:wrapTight wrapText="bothSides">
              <wp:wrapPolygon edited="0">
                <wp:start x="0" y="0"/>
                <wp:lineTo x="0" y="21455"/>
                <wp:lineTo x="21533" y="21455"/>
                <wp:lineTo x="21533"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14:paraId="6240E5EF" w14:textId="77777777" w:rsidR="00384E70" w:rsidRPr="00384E70" w:rsidRDefault="00384E70" w:rsidP="00384E70">
      <w:pPr>
        <w:spacing w:before="1200" w:after="480"/>
        <w:ind w:left="-737" w:right="-170" w:firstLine="720"/>
        <w:jc w:val="both"/>
        <w:rPr>
          <w:sz w:val="22"/>
          <w:szCs w:val="22"/>
        </w:rPr>
      </w:pPr>
    </w:p>
    <w:p w14:paraId="6EC1FBCE" w14:textId="77777777" w:rsidR="00384E70" w:rsidRPr="00384E70" w:rsidRDefault="00384E70" w:rsidP="00384E70">
      <w:pPr>
        <w:ind w:firstLine="720"/>
        <w:jc w:val="both"/>
        <w:rPr>
          <w:sz w:val="22"/>
          <w:szCs w:val="22"/>
        </w:rPr>
      </w:pPr>
    </w:p>
    <w:p w14:paraId="22E602F3" w14:textId="77777777" w:rsidR="00384E70" w:rsidRPr="00384E70" w:rsidRDefault="00384E70" w:rsidP="00384E70">
      <w:pPr>
        <w:ind w:firstLine="720"/>
        <w:jc w:val="both"/>
        <w:rPr>
          <w:sz w:val="22"/>
          <w:szCs w:val="22"/>
        </w:rPr>
      </w:pPr>
    </w:p>
    <w:p w14:paraId="6D0BFA84" w14:textId="77777777" w:rsidR="00384E70" w:rsidRPr="00384E70" w:rsidRDefault="00384E70" w:rsidP="00384E70">
      <w:pPr>
        <w:spacing w:before="100" w:beforeAutospacing="1" w:after="100" w:afterAutospacing="1"/>
        <w:ind w:left="-227" w:firstLine="720"/>
        <w:jc w:val="both"/>
        <w:rPr>
          <w:sz w:val="24"/>
          <w:szCs w:val="24"/>
        </w:rPr>
      </w:pPr>
      <w:r w:rsidRPr="00384E70">
        <w:rPr>
          <w:rFonts w:asciiTheme="minorHAnsi" w:eastAsiaTheme="minorHAnsi" w:hAnsiTheme="minorHAnsi" w:cstheme="minorBidi"/>
          <w:noProof/>
          <w:sz w:val="22"/>
          <w:szCs w:val="22"/>
        </w:rPr>
        <w:lastRenderedPageBreak/>
        <w:drawing>
          <wp:inline distT="0" distB="0" distL="0" distR="0" wp14:anchorId="2C61EA8A" wp14:editId="436F7212">
            <wp:extent cx="5848350" cy="3409950"/>
            <wp:effectExtent l="0" t="0" r="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969CC6" w14:textId="77777777" w:rsidR="00384E70" w:rsidRPr="00384E70" w:rsidRDefault="00384E70" w:rsidP="00384E70">
      <w:pPr>
        <w:spacing w:before="100" w:beforeAutospacing="1" w:after="100" w:afterAutospacing="1"/>
        <w:ind w:left="-227" w:firstLine="720"/>
        <w:jc w:val="both"/>
        <w:rPr>
          <w:b/>
          <w:i/>
          <w:sz w:val="22"/>
          <w:szCs w:val="22"/>
        </w:rPr>
      </w:pPr>
    </w:p>
    <w:p w14:paraId="50095DD3" w14:textId="77777777" w:rsidR="00384E70" w:rsidRPr="00384E70" w:rsidRDefault="00384E70" w:rsidP="00384E70">
      <w:pPr>
        <w:spacing w:before="100" w:beforeAutospacing="1" w:after="100" w:afterAutospacing="1"/>
        <w:ind w:firstLine="720"/>
        <w:jc w:val="both"/>
        <w:rPr>
          <w:sz w:val="22"/>
          <w:szCs w:val="22"/>
        </w:rPr>
      </w:pPr>
      <w:r w:rsidRPr="00384E70">
        <w:rPr>
          <w:b/>
          <w:i/>
          <w:sz w:val="22"/>
          <w:szCs w:val="22"/>
        </w:rPr>
        <w:t>Vispārējiem valdības dienestiem</w:t>
      </w:r>
      <w:r w:rsidRPr="00384E70">
        <w:rPr>
          <w:sz w:val="22"/>
          <w:szCs w:val="22"/>
        </w:rPr>
        <w:t xml:space="preserve"> apstiprināts finansējums </w:t>
      </w:r>
      <w:r w:rsidRPr="00384E70">
        <w:rPr>
          <w:b/>
          <w:sz w:val="22"/>
          <w:szCs w:val="22"/>
        </w:rPr>
        <w:t xml:space="preserve">640 356 EUR </w:t>
      </w:r>
      <w:r w:rsidRPr="00384E70">
        <w:rPr>
          <w:sz w:val="22"/>
          <w:szCs w:val="22"/>
        </w:rPr>
        <w:t xml:space="preserve">apmērā. Šajos izdevumos ietilpst izpildvaras institūcijas, pašvaldības parāda procentu maksājumi. </w:t>
      </w:r>
    </w:p>
    <w:p w14:paraId="12615846" w14:textId="7C42CB09" w:rsidR="00384E70" w:rsidRPr="00384E70" w:rsidRDefault="00384E70" w:rsidP="00384E70">
      <w:pPr>
        <w:spacing w:before="100" w:beforeAutospacing="1" w:after="100" w:afterAutospacing="1"/>
        <w:ind w:firstLine="720"/>
        <w:jc w:val="both"/>
        <w:rPr>
          <w:sz w:val="22"/>
          <w:szCs w:val="22"/>
        </w:rPr>
      </w:pPr>
      <w:r w:rsidRPr="00384E70">
        <w:rPr>
          <w:sz w:val="22"/>
          <w:szCs w:val="22"/>
        </w:rPr>
        <w:t>Saskaņā ar Latvijas Republikas likumu „Par pašvaldībām” un atbilstoši Amatas novada pašvaldības nolikumam pašvaldības iedzīvotāju pārstāvību nodrošina to ievēlēts pašvaldības lēmējorgāns – dome, ko veido ievēlēti deputāti, savukārt domes pieņemto lēmumu izpildi, kā arī tās darba organizatorisko un tehnisko apkalpošanu nodrošina administrācija. Izpildvaras, Dzimtsarakstu nodaļas uzturēšanai 2020. gadā plānoti izdevumi 640 356 EUR, kas ir par 3,38% mazāk kā 2019.</w:t>
      </w:r>
      <w:r w:rsidR="004B5C72">
        <w:rPr>
          <w:sz w:val="22"/>
          <w:szCs w:val="22"/>
        </w:rPr>
        <w:t> </w:t>
      </w:r>
      <w:r w:rsidRPr="00384E70">
        <w:rPr>
          <w:sz w:val="22"/>
          <w:szCs w:val="22"/>
        </w:rPr>
        <w:t>gadā.</w:t>
      </w:r>
    </w:p>
    <w:p w14:paraId="3B842921" w14:textId="77777777" w:rsidR="00384E70" w:rsidRPr="00384E70" w:rsidRDefault="00384E70" w:rsidP="00384E70">
      <w:pPr>
        <w:spacing w:before="100" w:beforeAutospacing="1" w:after="100" w:afterAutospacing="1"/>
        <w:ind w:firstLine="720"/>
        <w:jc w:val="both"/>
        <w:rPr>
          <w:sz w:val="22"/>
          <w:szCs w:val="22"/>
        </w:rPr>
      </w:pPr>
      <w:r w:rsidRPr="00384E70">
        <w:rPr>
          <w:sz w:val="22"/>
          <w:szCs w:val="22"/>
        </w:rPr>
        <w:t xml:space="preserve"> Vispārējo valdības dienestu  izdevumu īpatsvars budžetā 6,99%.</w:t>
      </w:r>
    </w:p>
    <w:p w14:paraId="582ABD90" w14:textId="77777777" w:rsidR="00384E70" w:rsidRPr="00384E70" w:rsidRDefault="00384E70" w:rsidP="00384E70">
      <w:pPr>
        <w:spacing w:before="100" w:beforeAutospacing="1" w:after="100" w:afterAutospacing="1"/>
        <w:ind w:left="57" w:firstLine="720"/>
        <w:jc w:val="both"/>
        <w:rPr>
          <w:sz w:val="24"/>
          <w:szCs w:val="24"/>
        </w:rPr>
      </w:pPr>
      <w:r w:rsidRPr="00384E70">
        <w:rPr>
          <w:rFonts w:asciiTheme="minorHAnsi" w:eastAsiaTheme="minorHAnsi" w:hAnsiTheme="minorHAnsi" w:cstheme="minorBidi"/>
          <w:noProof/>
          <w:sz w:val="22"/>
          <w:szCs w:val="22"/>
        </w:rPr>
        <w:drawing>
          <wp:inline distT="0" distB="0" distL="0" distR="0" wp14:anchorId="2577F063" wp14:editId="054DC343">
            <wp:extent cx="4800600" cy="29622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B730B3" w14:textId="77777777" w:rsidR="00384E70" w:rsidRPr="00384E70" w:rsidRDefault="00384E70" w:rsidP="00384E70">
      <w:pPr>
        <w:spacing w:before="100" w:beforeAutospacing="1" w:after="100" w:afterAutospacing="1"/>
        <w:ind w:left="57" w:firstLine="720"/>
        <w:jc w:val="both"/>
        <w:rPr>
          <w:sz w:val="22"/>
          <w:szCs w:val="22"/>
        </w:rPr>
      </w:pPr>
    </w:p>
    <w:p w14:paraId="13A5DC61" w14:textId="77777777" w:rsidR="00384E70" w:rsidRPr="00384E70" w:rsidRDefault="00384E70" w:rsidP="00384E70">
      <w:pPr>
        <w:jc w:val="both"/>
        <w:rPr>
          <w:b/>
          <w:i/>
          <w:sz w:val="22"/>
          <w:szCs w:val="22"/>
        </w:rPr>
      </w:pPr>
    </w:p>
    <w:p w14:paraId="5D043141" w14:textId="77777777" w:rsidR="00384E70" w:rsidRPr="00384E70" w:rsidRDefault="00384E70" w:rsidP="00384E70">
      <w:pPr>
        <w:ind w:firstLine="720"/>
        <w:jc w:val="both"/>
        <w:rPr>
          <w:sz w:val="22"/>
          <w:szCs w:val="22"/>
        </w:rPr>
      </w:pPr>
      <w:r w:rsidRPr="00384E70">
        <w:rPr>
          <w:rFonts w:asciiTheme="minorHAnsi" w:eastAsiaTheme="minorHAnsi" w:hAnsiTheme="minorHAnsi" w:cstheme="minorBidi"/>
          <w:noProof/>
          <w:sz w:val="22"/>
          <w:szCs w:val="22"/>
        </w:rPr>
        <w:drawing>
          <wp:anchor distT="0" distB="0" distL="114300" distR="114300" simplePos="0" relativeHeight="251664384" behindDoc="1" locked="0" layoutInCell="1" allowOverlap="1" wp14:anchorId="134884C9" wp14:editId="601AC346">
            <wp:simplePos x="0" y="0"/>
            <wp:positionH relativeFrom="column">
              <wp:posOffset>-133350</wp:posOffset>
            </wp:positionH>
            <wp:positionV relativeFrom="paragraph">
              <wp:posOffset>457835</wp:posOffset>
            </wp:positionV>
            <wp:extent cx="5838825" cy="2743200"/>
            <wp:effectExtent l="0" t="0" r="0" b="0"/>
            <wp:wrapTight wrapText="bothSides">
              <wp:wrapPolygon edited="0">
                <wp:start x="0" y="0"/>
                <wp:lineTo x="0" y="21450"/>
                <wp:lineTo x="21494" y="21450"/>
                <wp:lineTo x="21494"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384E70">
        <w:rPr>
          <w:b/>
          <w:i/>
          <w:sz w:val="22"/>
          <w:szCs w:val="22"/>
        </w:rPr>
        <w:t>Sabiedriskās kārtības un drošības</w:t>
      </w:r>
      <w:r w:rsidRPr="00384E70">
        <w:rPr>
          <w:sz w:val="22"/>
          <w:szCs w:val="22"/>
        </w:rPr>
        <w:t xml:space="preserve"> nodrošināšanai budžetā paredzēti </w:t>
      </w:r>
      <w:r w:rsidRPr="00384E70">
        <w:rPr>
          <w:b/>
          <w:sz w:val="22"/>
          <w:szCs w:val="22"/>
        </w:rPr>
        <w:t>183 440</w:t>
      </w:r>
      <w:r w:rsidRPr="00384E70">
        <w:rPr>
          <w:sz w:val="22"/>
          <w:szCs w:val="22"/>
        </w:rPr>
        <w:t xml:space="preserve"> </w:t>
      </w:r>
      <w:r w:rsidRPr="00384E70">
        <w:rPr>
          <w:b/>
          <w:sz w:val="22"/>
          <w:szCs w:val="22"/>
        </w:rPr>
        <w:t xml:space="preserve">EUR </w:t>
      </w:r>
      <w:r w:rsidRPr="00384E70">
        <w:rPr>
          <w:sz w:val="22"/>
          <w:szCs w:val="22"/>
        </w:rPr>
        <w:t>jeb 2% no kopējiem izdevumiem, kas ir par 4,27% mazāk nekā plānots 2019. gada budžetā</w:t>
      </w:r>
    </w:p>
    <w:p w14:paraId="04E2776A" w14:textId="77777777" w:rsidR="00384E70" w:rsidRPr="00384E70" w:rsidRDefault="00384E70" w:rsidP="00384E70">
      <w:pPr>
        <w:ind w:left="113" w:firstLine="720"/>
        <w:jc w:val="both"/>
        <w:rPr>
          <w:sz w:val="22"/>
          <w:szCs w:val="22"/>
        </w:rPr>
      </w:pPr>
    </w:p>
    <w:p w14:paraId="7F0BC717" w14:textId="77777777" w:rsidR="00384E70" w:rsidRPr="00384E70" w:rsidRDefault="00384E70" w:rsidP="00384E70">
      <w:pPr>
        <w:ind w:firstLine="720"/>
        <w:jc w:val="both"/>
        <w:rPr>
          <w:sz w:val="22"/>
          <w:szCs w:val="22"/>
        </w:rPr>
      </w:pPr>
    </w:p>
    <w:p w14:paraId="01E1B64B" w14:textId="77777777" w:rsidR="00384E70" w:rsidRPr="00384E70" w:rsidRDefault="00384E70" w:rsidP="00384E70">
      <w:pPr>
        <w:spacing w:before="100" w:beforeAutospacing="1" w:after="100" w:afterAutospacing="1"/>
        <w:ind w:firstLine="720"/>
        <w:jc w:val="both"/>
        <w:rPr>
          <w:b/>
          <w:i/>
          <w:sz w:val="22"/>
          <w:szCs w:val="22"/>
        </w:rPr>
      </w:pPr>
    </w:p>
    <w:p w14:paraId="4B1B1551" w14:textId="629EF47D" w:rsidR="00384E70" w:rsidRPr="00384E70" w:rsidRDefault="00384E70" w:rsidP="00384E70">
      <w:pPr>
        <w:spacing w:before="100" w:beforeAutospacing="1" w:after="100" w:afterAutospacing="1"/>
        <w:ind w:firstLine="720"/>
        <w:jc w:val="both"/>
        <w:rPr>
          <w:sz w:val="22"/>
          <w:szCs w:val="22"/>
        </w:rPr>
      </w:pPr>
      <w:r w:rsidRPr="00384E70">
        <w:rPr>
          <w:rFonts w:asciiTheme="minorHAnsi" w:eastAsiaTheme="minorHAnsi" w:hAnsiTheme="minorHAnsi" w:cstheme="minorBidi"/>
          <w:noProof/>
          <w:sz w:val="22"/>
          <w:szCs w:val="22"/>
        </w:rPr>
        <w:drawing>
          <wp:anchor distT="0" distB="0" distL="114300" distR="114300" simplePos="0" relativeHeight="251663360" behindDoc="1" locked="0" layoutInCell="1" allowOverlap="1" wp14:anchorId="7DC22D5E" wp14:editId="1D53604B">
            <wp:simplePos x="0" y="0"/>
            <wp:positionH relativeFrom="column">
              <wp:posOffset>114300</wp:posOffset>
            </wp:positionH>
            <wp:positionV relativeFrom="paragraph">
              <wp:posOffset>707390</wp:posOffset>
            </wp:positionV>
            <wp:extent cx="5829300" cy="3962400"/>
            <wp:effectExtent l="0" t="0" r="0" b="0"/>
            <wp:wrapTight wrapText="bothSides">
              <wp:wrapPolygon edited="0">
                <wp:start x="0" y="0"/>
                <wp:lineTo x="0" y="21496"/>
                <wp:lineTo x="21529" y="21496"/>
                <wp:lineTo x="21529"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384E70">
        <w:rPr>
          <w:b/>
          <w:i/>
          <w:sz w:val="22"/>
          <w:szCs w:val="22"/>
        </w:rPr>
        <w:t>Ekonomiskajai darbībai</w:t>
      </w:r>
      <w:r w:rsidRPr="00384E70">
        <w:rPr>
          <w:sz w:val="22"/>
          <w:szCs w:val="22"/>
        </w:rPr>
        <w:t xml:space="preserve"> no pašvaldības budžeta izdevumiem ir plānots tērēt </w:t>
      </w:r>
      <w:r w:rsidRPr="00384E70">
        <w:rPr>
          <w:b/>
          <w:sz w:val="22"/>
          <w:szCs w:val="22"/>
        </w:rPr>
        <w:t>1 833 493 EUR</w:t>
      </w:r>
      <w:r w:rsidRPr="00384E70">
        <w:rPr>
          <w:sz w:val="22"/>
          <w:szCs w:val="22"/>
        </w:rPr>
        <w:t xml:space="preserve"> jeb 20% no kopējiem izdevumiem, kas ir par 158,64% vairāk nekā plānots 2019. gada budžetā. Palielinājums saistīts ar autoceļu fonda iekļaušanu pamatbudžetā.</w:t>
      </w:r>
    </w:p>
    <w:p w14:paraId="690D9580" w14:textId="77777777" w:rsidR="00384E70" w:rsidRPr="00384E70" w:rsidRDefault="00384E70" w:rsidP="00384E70">
      <w:pPr>
        <w:ind w:firstLine="720"/>
        <w:jc w:val="both"/>
        <w:rPr>
          <w:b/>
          <w:i/>
          <w:sz w:val="22"/>
          <w:szCs w:val="22"/>
        </w:rPr>
      </w:pPr>
    </w:p>
    <w:p w14:paraId="16A1A04B" w14:textId="77777777" w:rsidR="00384E70" w:rsidRPr="00384E70" w:rsidRDefault="00384E70" w:rsidP="00384E70">
      <w:pPr>
        <w:jc w:val="both"/>
        <w:rPr>
          <w:b/>
          <w:i/>
          <w:sz w:val="22"/>
          <w:szCs w:val="22"/>
        </w:rPr>
      </w:pPr>
    </w:p>
    <w:p w14:paraId="518F1C2F" w14:textId="77777777" w:rsidR="00384E70" w:rsidRPr="00384E70" w:rsidRDefault="00384E70" w:rsidP="00384E70">
      <w:pPr>
        <w:ind w:firstLine="720"/>
        <w:jc w:val="both"/>
        <w:rPr>
          <w:sz w:val="22"/>
          <w:szCs w:val="22"/>
        </w:rPr>
      </w:pPr>
      <w:r w:rsidRPr="00384E70">
        <w:rPr>
          <w:b/>
          <w:i/>
          <w:sz w:val="22"/>
          <w:szCs w:val="22"/>
        </w:rPr>
        <w:lastRenderedPageBreak/>
        <w:t>Vides aizsardzībai</w:t>
      </w:r>
      <w:r w:rsidRPr="00384E70">
        <w:rPr>
          <w:sz w:val="22"/>
          <w:szCs w:val="22"/>
        </w:rPr>
        <w:t xml:space="preserve"> 2020. gada budžetā plānoti</w:t>
      </w:r>
      <w:r w:rsidRPr="00384E70">
        <w:rPr>
          <w:b/>
          <w:sz w:val="22"/>
          <w:szCs w:val="22"/>
        </w:rPr>
        <w:t xml:space="preserve"> 2 300 EUR </w:t>
      </w:r>
      <w:r w:rsidRPr="00384E70">
        <w:rPr>
          <w:sz w:val="22"/>
          <w:szCs w:val="22"/>
        </w:rPr>
        <w:t>jeb 0,03% no pašvaldības budžeta izdevumiem, kas ir par 83,6% mazāk par plānoto 2019. gada budžetā.</w:t>
      </w:r>
    </w:p>
    <w:p w14:paraId="7A392717" w14:textId="77777777" w:rsidR="00384E70" w:rsidRPr="00384E70" w:rsidRDefault="00384E70" w:rsidP="00384E70">
      <w:pPr>
        <w:ind w:firstLine="720"/>
        <w:jc w:val="both"/>
        <w:rPr>
          <w:sz w:val="22"/>
          <w:szCs w:val="22"/>
        </w:rPr>
      </w:pPr>
    </w:p>
    <w:p w14:paraId="7D9D8C65" w14:textId="77777777" w:rsidR="00384E70" w:rsidRPr="00384E70" w:rsidRDefault="00384E70" w:rsidP="00384E70">
      <w:pPr>
        <w:ind w:left="113" w:firstLine="720"/>
        <w:jc w:val="both"/>
        <w:rPr>
          <w:sz w:val="22"/>
          <w:szCs w:val="22"/>
        </w:rPr>
      </w:pPr>
      <w:r w:rsidRPr="00384E70">
        <w:rPr>
          <w:rFonts w:asciiTheme="minorHAnsi" w:eastAsiaTheme="minorHAnsi" w:hAnsiTheme="minorHAnsi" w:cstheme="minorBidi"/>
          <w:noProof/>
          <w:sz w:val="22"/>
          <w:szCs w:val="22"/>
        </w:rPr>
        <w:drawing>
          <wp:inline distT="0" distB="0" distL="0" distR="0" wp14:anchorId="22A1DB83" wp14:editId="366F0842">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200664" w14:textId="77777777" w:rsidR="00384E70" w:rsidRPr="00384E70" w:rsidRDefault="00384E70" w:rsidP="00384E70">
      <w:pPr>
        <w:ind w:firstLine="720"/>
        <w:jc w:val="both"/>
        <w:rPr>
          <w:sz w:val="22"/>
          <w:szCs w:val="22"/>
        </w:rPr>
      </w:pPr>
    </w:p>
    <w:p w14:paraId="07A1DC02" w14:textId="77777777" w:rsidR="00384E70" w:rsidRPr="00384E70" w:rsidRDefault="00384E70" w:rsidP="00384E70">
      <w:pPr>
        <w:jc w:val="both"/>
        <w:rPr>
          <w:b/>
          <w:i/>
          <w:sz w:val="22"/>
          <w:szCs w:val="22"/>
        </w:rPr>
      </w:pPr>
      <w:r w:rsidRPr="00384E70">
        <w:rPr>
          <w:b/>
          <w:i/>
          <w:sz w:val="22"/>
          <w:szCs w:val="22"/>
        </w:rPr>
        <w:t xml:space="preserve">      </w:t>
      </w:r>
    </w:p>
    <w:p w14:paraId="6781FC9C" w14:textId="77777777" w:rsidR="00384E70" w:rsidRPr="00384E70" w:rsidRDefault="00384E70" w:rsidP="00384E70">
      <w:pPr>
        <w:jc w:val="both"/>
        <w:rPr>
          <w:b/>
          <w:i/>
          <w:sz w:val="22"/>
          <w:szCs w:val="22"/>
        </w:rPr>
      </w:pPr>
    </w:p>
    <w:p w14:paraId="00C4DC3F" w14:textId="77777777" w:rsidR="00384E70" w:rsidRPr="00384E70" w:rsidRDefault="00384E70" w:rsidP="00384E70">
      <w:pPr>
        <w:ind w:firstLine="720"/>
        <w:jc w:val="both"/>
        <w:rPr>
          <w:rFonts w:ascii="Verdana" w:hAnsi="Verdana"/>
        </w:rPr>
      </w:pPr>
      <w:r w:rsidRPr="00384E70">
        <w:rPr>
          <w:b/>
          <w:i/>
          <w:sz w:val="22"/>
          <w:szCs w:val="22"/>
        </w:rPr>
        <w:t>Pašvaldības teritoriju un mājokļu apsaimniekošanas</w:t>
      </w:r>
      <w:r w:rsidRPr="00384E70">
        <w:rPr>
          <w:sz w:val="22"/>
          <w:szCs w:val="22"/>
        </w:rPr>
        <w:t xml:space="preserve"> pasākumiem budžetā paredzēti </w:t>
      </w:r>
      <w:r w:rsidRPr="00384E70">
        <w:rPr>
          <w:b/>
          <w:sz w:val="22"/>
          <w:szCs w:val="22"/>
        </w:rPr>
        <w:t xml:space="preserve">1 435 233 EUR </w:t>
      </w:r>
      <w:r w:rsidRPr="00384E70">
        <w:rPr>
          <w:sz w:val="22"/>
          <w:szCs w:val="22"/>
        </w:rPr>
        <w:t xml:space="preserve">jeb 15,68 % no kopējiem pašvaldības budžeta izdevumiem, kas ir par 4,11% vairāk nekā 2019. gadā. </w:t>
      </w:r>
    </w:p>
    <w:p w14:paraId="1B41FBC2" w14:textId="77777777" w:rsidR="00384E70" w:rsidRPr="00384E70" w:rsidRDefault="00384E70" w:rsidP="00384E70">
      <w:pPr>
        <w:jc w:val="both"/>
        <w:rPr>
          <w:rFonts w:ascii="Verdana" w:hAnsi="Verdana"/>
        </w:rPr>
      </w:pPr>
    </w:p>
    <w:p w14:paraId="4D641506" w14:textId="77777777" w:rsidR="00384E70" w:rsidRPr="00384E70" w:rsidRDefault="00384E70" w:rsidP="00384E70">
      <w:pPr>
        <w:jc w:val="both"/>
        <w:rPr>
          <w:rFonts w:ascii="Verdana" w:hAnsi="Verdana"/>
        </w:rPr>
      </w:pPr>
    </w:p>
    <w:p w14:paraId="13875A77" w14:textId="77777777" w:rsidR="00384E70" w:rsidRPr="00384E70" w:rsidRDefault="00384E70" w:rsidP="00384E70">
      <w:pPr>
        <w:jc w:val="both"/>
        <w:rPr>
          <w:rFonts w:ascii="Verdana" w:hAnsi="Verdana"/>
        </w:rPr>
      </w:pPr>
      <w:r w:rsidRPr="00384E70">
        <w:rPr>
          <w:rFonts w:asciiTheme="minorHAnsi" w:eastAsiaTheme="minorHAnsi" w:hAnsiTheme="minorHAnsi" w:cstheme="minorBidi"/>
          <w:noProof/>
          <w:sz w:val="22"/>
          <w:szCs w:val="22"/>
        </w:rPr>
        <w:drawing>
          <wp:inline distT="0" distB="0" distL="0" distR="0" wp14:anchorId="5C9C9362" wp14:editId="7DCEF469">
            <wp:extent cx="5133975" cy="31908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A649C4" w14:textId="77777777" w:rsidR="00384E70" w:rsidRPr="00384E70" w:rsidRDefault="00384E70" w:rsidP="00384E70">
      <w:pPr>
        <w:jc w:val="both"/>
        <w:rPr>
          <w:rFonts w:ascii="Verdana" w:hAnsi="Verdana"/>
        </w:rPr>
      </w:pPr>
    </w:p>
    <w:p w14:paraId="6868C96E" w14:textId="77777777" w:rsidR="00384E70" w:rsidRPr="00384E70" w:rsidRDefault="00384E70" w:rsidP="00384E70">
      <w:pPr>
        <w:jc w:val="both"/>
        <w:rPr>
          <w:rFonts w:ascii="Verdana" w:hAnsi="Verdana"/>
        </w:rPr>
      </w:pPr>
    </w:p>
    <w:p w14:paraId="17046A03" w14:textId="77777777" w:rsidR="00384E70" w:rsidRPr="00384E70" w:rsidRDefault="00384E70" w:rsidP="00384E70">
      <w:pPr>
        <w:jc w:val="both"/>
        <w:rPr>
          <w:rFonts w:ascii="Verdana" w:hAnsi="Verdana"/>
        </w:rPr>
      </w:pPr>
    </w:p>
    <w:p w14:paraId="1F63C1E5" w14:textId="77777777" w:rsidR="00384E70" w:rsidRPr="00384E70" w:rsidRDefault="00384E70" w:rsidP="00384E70">
      <w:pPr>
        <w:jc w:val="both"/>
        <w:rPr>
          <w:rFonts w:ascii="Verdana" w:hAnsi="Verdana"/>
        </w:rPr>
      </w:pPr>
    </w:p>
    <w:p w14:paraId="511228A2" w14:textId="77777777" w:rsidR="00384E70" w:rsidRPr="00384E70" w:rsidRDefault="00384E70" w:rsidP="00384E70">
      <w:pPr>
        <w:jc w:val="both"/>
        <w:rPr>
          <w:rFonts w:ascii="Verdana" w:hAnsi="Verdana"/>
        </w:rPr>
      </w:pPr>
    </w:p>
    <w:p w14:paraId="40ADC2C4" w14:textId="77777777" w:rsidR="00384E70" w:rsidRPr="00384E70" w:rsidRDefault="00384E70" w:rsidP="00384E70">
      <w:pPr>
        <w:jc w:val="both"/>
        <w:rPr>
          <w:rFonts w:ascii="Verdana" w:hAnsi="Verdana"/>
        </w:rPr>
      </w:pPr>
    </w:p>
    <w:p w14:paraId="6515B2F7" w14:textId="77777777" w:rsidR="00384E70" w:rsidRPr="00384E70" w:rsidRDefault="00384E70" w:rsidP="00384E70">
      <w:pPr>
        <w:jc w:val="both"/>
        <w:rPr>
          <w:rFonts w:ascii="Verdana" w:hAnsi="Verdana"/>
        </w:rPr>
      </w:pPr>
    </w:p>
    <w:p w14:paraId="0C7F9ECD" w14:textId="77777777" w:rsidR="00384E70" w:rsidRPr="00384E70" w:rsidRDefault="00384E70" w:rsidP="00384E70">
      <w:pPr>
        <w:jc w:val="both"/>
        <w:rPr>
          <w:rFonts w:ascii="Verdana" w:hAnsi="Verdana"/>
        </w:rPr>
      </w:pPr>
    </w:p>
    <w:p w14:paraId="16FBD59F" w14:textId="77777777" w:rsidR="00384E70" w:rsidRPr="00384E70" w:rsidRDefault="00384E70" w:rsidP="00384E70">
      <w:pPr>
        <w:jc w:val="both"/>
        <w:rPr>
          <w:rFonts w:ascii="Verdana" w:hAnsi="Verdana"/>
        </w:rPr>
      </w:pPr>
    </w:p>
    <w:p w14:paraId="563F029C" w14:textId="77777777" w:rsidR="00384E70" w:rsidRPr="00384E70" w:rsidRDefault="00384E70" w:rsidP="00384E70">
      <w:pPr>
        <w:jc w:val="both"/>
        <w:rPr>
          <w:rFonts w:ascii="Verdana" w:hAnsi="Verdana"/>
        </w:rPr>
      </w:pPr>
    </w:p>
    <w:p w14:paraId="16028749" w14:textId="77777777" w:rsidR="00384E70" w:rsidRPr="00384E70" w:rsidRDefault="00384E70" w:rsidP="00384E70">
      <w:pPr>
        <w:jc w:val="both"/>
        <w:rPr>
          <w:sz w:val="22"/>
          <w:szCs w:val="22"/>
        </w:rPr>
      </w:pPr>
    </w:p>
    <w:p w14:paraId="7A0CB429" w14:textId="77777777" w:rsidR="00384E70" w:rsidRPr="00384E70" w:rsidRDefault="00384E70" w:rsidP="00384E70">
      <w:pPr>
        <w:ind w:firstLine="720"/>
        <w:jc w:val="both"/>
        <w:rPr>
          <w:sz w:val="22"/>
          <w:szCs w:val="22"/>
        </w:rPr>
      </w:pPr>
      <w:r w:rsidRPr="00384E70">
        <w:rPr>
          <w:sz w:val="22"/>
          <w:szCs w:val="22"/>
        </w:rPr>
        <w:t xml:space="preserve">Funkcijai </w:t>
      </w:r>
      <w:r w:rsidRPr="00384E70">
        <w:rPr>
          <w:b/>
          <w:i/>
          <w:sz w:val="22"/>
          <w:szCs w:val="22"/>
        </w:rPr>
        <w:t>Veselība</w:t>
      </w:r>
      <w:r w:rsidRPr="00384E70">
        <w:rPr>
          <w:sz w:val="22"/>
          <w:szCs w:val="22"/>
        </w:rPr>
        <w:t xml:space="preserve"> budžetā ir plānoti</w:t>
      </w:r>
      <w:r w:rsidRPr="00384E70">
        <w:rPr>
          <w:b/>
          <w:sz w:val="22"/>
          <w:szCs w:val="22"/>
        </w:rPr>
        <w:t xml:space="preserve"> 25 431 EUR </w:t>
      </w:r>
      <w:r w:rsidRPr="00384E70">
        <w:rPr>
          <w:sz w:val="22"/>
          <w:szCs w:val="22"/>
        </w:rPr>
        <w:t>jeb 0,28% no kopējiem budžeta izdevumiem, kas ir par 36,54% mazāk nekā 2019. gada budžetā. Izdevumus sastāda projekts “Vietējās sabiedrības veselības veicināšanas, slimību profilakses pasākumu īstenošana Amatas novadā”.</w:t>
      </w:r>
    </w:p>
    <w:p w14:paraId="54689562" w14:textId="77777777" w:rsidR="00384E70" w:rsidRPr="00384E70" w:rsidRDefault="00384E70" w:rsidP="00384E70">
      <w:pPr>
        <w:jc w:val="both"/>
        <w:rPr>
          <w:rFonts w:ascii="Verdana" w:hAnsi="Verdana"/>
        </w:rPr>
      </w:pPr>
    </w:p>
    <w:p w14:paraId="4B37C09E" w14:textId="77777777" w:rsidR="00384E70" w:rsidRPr="00384E70" w:rsidRDefault="00384E70" w:rsidP="00384E70">
      <w:pPr>
        <w:jc w:val="both"/>
        <w:rPr>
          <w:rFonts w:ascii="Verdana" w:hAnsi="Verdana"/>
        </w:rPr>
      </w:pPr>
    </w:p>
    <w:p w14:paraId="34E55C71" w14:textId="77777777" w:rsidR="00384E70" w:rsidRPr="00384E70" w:rsidRDefault="00384E70" w:rsidP="00384E70">
      <w:pPr>
        <w:jc w:val="both"/>
        <w:rPr>
          <w:rFonts w:ascii="Verdana" w:hAnsi="Verdana"/>
        </w:rPr>
      </w:pPr>
    </w:p>
    <w:p w14:paraId="5E183C3B" w14:textId="77777777" w:rsidR="00384E70" w:rsidRPr="00384E70" w:rsidRDefault="00384E70" w:rsidP="00384E70">
      <w:pPr>
        <w:ind w:left="794"/>
        <w:jc w:val="both"/>
        <w:rPr>
          <w:rFonts w:ascii="Verdana" w:hAnsi="Verdana"/>
        </w:rPr>
      </w:pPr>
      <w:r w:rsidRPr="00384E70">
        <w:rPr>
          <w:noProof/>
        </w:rPr>
        <w:drawing>
          <wp:inline distT="0" distB="0" distL="0" distR="0" wp14:anchorId="078349DF" wp14:editId="52B5AEE0">
            <wp:extent cx="4572000" cy="2695575"/>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CB93D3" w14:textId="77777777" w:rsidR="00384E70" w:rsidRPr="00384E70" w:rsidRDefault="00384E70" w:rsidP="00384E70">
      <w:pPr>
        <w:jc w:val="both"/>
        <w:rPr>
          <w:rFonts w:ascii="Verdana" w:hAnsi="Verdana"/>
        </w:rPr>
      </w:pPr>
    </w:p>
    <w:p w14:paraId="36F2F12D" w14:textId="77777777" w:rsidR="00384E70" w:rsidRPr="00384E70" w:rsidRDefault="00384E70" w:rsidP="00384E70">
      <w:pPr>
        <w:jc w:val="both"/>
        <w:rPr>
          <w:rFonts w:ascii="Verdana" w:hAnsi="Verdana"/>
        </w:rPr>
      </w:pPr>
    </w:p>
    <w:p w14:paraId="211B17ED" w14:textId="77777777" w:rsidR="00384E70" w:rsidRPr="00384E70" w:rsidRDefault="00384E70" w:rsidP="00384E70">
      <w:pPr>
        <w:jc w:val="both"/>
        <w:rPr>
          <w:sz w:val="22"/>
          <w:szCs w:val="22"/>
        </w:rPr>
      </w:pPr>
    </w:p>
    <w:p w14:paraId="2771AB00" w14:textId="0980054D" w:rsidR="00384E70" w:rsidRPr="00384E70" w:rsidRDefault="00384E70" w:rsidP="00384E70">
      <w:pPr>
        <w:ind w:firstLine="720"/>
        <w:jc w:val="both"/>
        <w:rPr>
          <w:sz w:val="22"/>
          <w:szCs w:val="22"/>
        </w:rPr>
      </w:pPr>
      <w:r w:rsidRPr="00384E70">
        <w:rPr>
          <w:sz w:val="22"/>
          <w:szCs w:val="22"/>
        </w:rPr>
        <w:t xml:space="preserve">Funkcijai </w:t>
      </w:r>
      <w:r w:rsidRPr="00384E70">
        <w:rPr>
          <w:b/>
          <w:i/>
          <w:sz w:val="22"/>
          <w:szCs w:val="22"/>
        </w:rPr>
        <w:t>Atpūta, kultūra, reliģija</w:t>
      </w:r>
      <w:r w:rsidRPr="00384E70">
        <w:rPr>
          <w:sz w:val="22"/>
          <w:szCs w:val="22"/>
        </w:rPr>
        <w:t xml:space="preserve"> pamatbudžetā ir plānoti</w:t>
      </w:r>
      <w:r w:rsidRPr="00384E70">
        <w:rPr>
          <w:b/>
          <w:sz w:val="22"/>
          <w:szCs w:val="22"/>
        </w:rPr>
        <w:t xml:space="preserve"> 715 681 EUR </w:t>
      </w:r>
      <w:r w:rsidRPr="00384E70">
        <w:rPr>
          <w:sz w:val="22"/>
          <w:szCs w:val="22"/>
        </w:rPr>
        <w:t xml:space="preserve">jeb 7,81% no kopējiem budžeta izdevumiem, kas ir par 29,42% mazāk kā 2019. gadā. </w:t>
      </w:r>
    </w:p>
    <w:p w14:paraId="4EB9F8EA" w14:textId="77777777" w:rsidR="00384E70" w:rsidRPr="00384E70" w:rsidRDefault="00384E70" w:rsidP="00384E70">
      <w:pPr>
        <w:jc w:val="both"/>
        <w:rPr>
          <w:sz w:val="22"/>
          <w:szCs w:val="22"/>
        </w:rPr>
      </w:pPr>
    </w:p>
    <w:p w14:paraId="4F8F01A6" w14:textId="77777777" w:rsidR="00384E70" w:rsidRPr="00384E70" w:rsidRDefault="00384E70" w:rsidP="00384E70">
      <w:pPr>
        <w:jc w:val="both"/>
        <w:rPr>
          <w:sz w:val="22"/>
          <w:szCs w:val="22"/>
        </w:rPr>
      </w:pPr>
    </w:p>
    <w:p w14:paraId="3C3F1293" w14:textId="77777777" w:rsidR="00384E70" w:rsidRPr="00384E70" w:rsidRDefault="00384E70" w:rsidP="00384E70">
      <w:pPr>
        <w:ind w:left="-340"/>
        <w:jc w:val="center"/>
        <w:rPr>
          <w:rFonts w:ascii="Verdana" w:hAnsi="Verdana"/>
        </w:rPr>
      </w:pPr>
      <w:r w:rsidRPr="00384E70">
        <w:rPr>
          <w:rFonts w:asciiTheme="minorHAnsi" w:eastAsiaTheme="minorHAnsi" w:hAnsiTheme="minorHAnsi" w:cstheme="minorBidi"/>
          <w:noProof/>
          <w:sz w:val="22"/>
          <w:szCs w:val="22"/>
        </w:rPr>
        <w:drawing>
          <wp:inline distT="0" distB="0" distL="0" distR="0" wp14:anchorId="1F02B06D" wp14:editId="45371266">
            <wp:extent cx="5486400" cy="380047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B86000" w14:textId="77777777" w:rsidR="00384E70" w:rsidRPr="00384E70" w:rsidRDefault="00384E70" w:rsidP="00384E70">
      <w:pPr>
        <w:jc w:val="both"/>
        <w:rPr>
          <w:rFonts w:ascii="Verdana" w:hAnsi="Verdana"/>
          <w:b/>
          <w:i/>
        </w:rPr>
      </w:pPr>
      <w:r w:rsidRPr="00384E70">
        <w:t xml:space="preserve">                            </w:t>
      </w:r>
    </w:p>
    <w:p w14:paraId="6E47CE97" w14:textId="77777777" w:rsidR="00384E70" w:rsidRPr="00384E70" w:rsidRDefault="00384E70" w:rsidP="00384E70">
      <w:pPr>
        <w:jc w:val="both"/>
      </w:pPr>
      <w:r w:rsidRPr="00384E70">
        <w:t xml:space="preserve">        </w:t>
      </w:r>
    </w:p>
    <w:p w14:paraId="53CD7AF4" w14:textId="77777777" w:rsidR="00384E70" w:rsidRPr="00384E70" w:rsidRDefault="00384E70" w:rsidP="00384E70">
      <w:pPr>
        <w:jc w:val="both"/>
      </w:pPr>
    </w:p>
    <w:p w14:paraId="630823A6" w14:textId="77777777" w:rsidR="00384E70" w:rsidRPr="00384E70" w:rsidRDefault="00384E70" w:rsidP="00384E70">
      <w:pPr>
        <w:jc w:val="both"/>
      </w:pPr>
    </w:p>
    <w:p w14:paraId="4A4C72CB" w14:textId="77777777" w:rsidR="00384E70" w:rsidRPr="00384E70" w:rsidRDefault="00384E70" w:rsidP="00384E70">
      <w:pPr>
        <w:ind w:firstLine="720"/>
        <w:jc w:val="both"/>
        <w:rPr>
          <w:sz w:val="22"/>
          <w:szCs w:val="22"/>
        </w:rPr>
      </w:pPr>
      <w:r w:rsidRPr="00384E70">
        <w:rPr>
          <w:b/>
          <w:i/>
          <w:sz w:val="22"/>
          <w:szCs w:val="22"/>
        </w:rPr>
        <w:t>Izglītības funkcijas finansēšanai</w:t>
      </w:r>
      <w:r w:rsidRPr="00384E70">
        <w:rPr>
          <w:b/>
          <w:sz w:val="22"/>
          <w:szCs w:val="22"/>
        </w:rPr>
        <w:t xml:space="preserve">  </w:t>
      </w:r>
      <w:r w:rsidRPr="00384E70">
        <w:rPr>
          <w:sz w:val="22"/>
          <w:szCs w:val="22"/>
        </w:rPr>
        <w:t>budžetā ir plānoti</w:t>
      </w:r>
      <w:r w:rsidRPr="00384E70">
        <w:rPr>
          <w:b/>
          <w:sz w:val="22"/>
          <w:szCs w:val="22"/>
        </w:rPr>
        <w:t xml:space="preserve"> 3 150 674 EUR </w:t>
      </w:r>
      <w:r w:rsidRPr="00384E70">
        <w:rPr>
          <w:sz w:val="22"/>
          <w:szCs w:val="22"/>
        </w:rPr>
        <w:t>jeb 34,42%, kas ir par 20,26% mazāk nekā 2019. gada budžetā. Valsts budžeta mērķdotācijas izglītībai plānotas 8 mēnešu periodam.</w:t>
      </w:r>
    </w:p>
    <w:p w14:paraId="71DCA744" w14:textId="77777777" w:rsidR="00384E70" w:rsidRPr="00384E70" w:rsidRDefault="00384E70" w:rsidP="00384E70">
      <w:pPr>
        <w:jc w:val="center"/>
        <w:rPr>
          <w:rFonts w:ascii="Verdana" w:hAnsi="Verdana"/>
        </w:rPr>
      </w:pPr>
    </w:p>
    <w:p w14:paraId="3909CD85" w14:textId="77777777" w:rsidR="00384E70" w:rsidRPr="00384E70" w:rsidRDefault="00384E70" w:rsidP="00384E70">
      <w:pPr>
        <w:jc w:val="center"/>
        <w:rPr>
          <w:rFonts w:ascii="Verdana" w:hAnsi="Verdana"/>
        </w:rPr>
      </w:pPr>
      <w:r w:rsidRPr="00384E70">
        <w:rPr>
          <w:rFonts w:asciiTheme="minorHAnsi" w:eastAsiaTheme="minorHAnsi" w:hAnsiTheme="minorHAnsi" w:cstheme="minorBidi"/>
          <w:noProof/>
          <w:sz w:val="22"/>
          <w:szCs w:val="22"/>
        </w:rPr>
        <w:drawing>
          <wp:inline distT="0" distB="0" distL="0" distR="0" wp14:anchorId="6CC9B3DC" wp14:editId="1105F2D7">
            <wp:extent cx="6057900" cy="3181350"/>
            <wp:effectExtent l="0" t="0" r="0" b="0"/>
            <wp:docPr id="1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1E3DDC" w14:textId="77777777" w:rsidR="00384E70" w:rsidRPr="00384E70" w:rsidRDefault="00384E70" w:rsidP="00384E70">
      <w:pPr>
        <w:jc w:val="both"/>
        <w:rPr>
          <w:b/>
          <w:i/>
          <w:sz w:val="22"/>
          <w:szCs w:val="22"/>
        </w:rPr>
      </w:pPr>
    </w:p>
    <w:p w14:paraId="4B37F2E5" w14:textId="77777777" w:rsidR="00384E70" w:rsidRPr="00384E70" w:rsidRDefault="00384E70" w:rsidP="00384E70">
      <w:pPr>
        <w:ind w:firstLine="680"/>
        <w:jc w:val="both"/>
        <w:rPr>
          <w:sz w:val="22"/>
          <w:szCs w:val="22"/>
        </w:rPr>
      </w:pPr>
      <w:r w:rsidRPr="00384E70">
        <w:rPr>
          <w:b/>
          <w:i/>
          <w:sz w:val="22"/>
          <w:szCs w:val="22"/>
        </w:rPr>
        <w:t>Sociālās nodrošināšanas</w:t>
      </w:r>
      <w:r w:rsidRPr="00384E70">
        <w:rPr>
          <w:b/>
          <w:sz w:val="22"/>
          <w:szCs w:val="22"/>
        </w:rPr>
        <w:t xml:space="preserve"> </w:t>
      </w:r>
      <w:r w:rsidRPr="00384E70">
        <w:rPr>
          <w:sz w:val="22"/>
          <w:szCs w:val="22"/>
        </w:rPr>
        <w:t>funkcijas veikšanai paredzētais finansējums</w:t>
      </w:r>
      <w:r w:rsidRPr="00384E70">
        <w:rPr>
          <w:b/>
          <w:sz w:val="22"/>
          <w:szCs w:val="22"/>
        </w:rPr>
        <w:t xml:space="preserve"> 1 168 057 EUR </w:t>
      </w:r>
      <w:r w:rsidRPr="00384E70">
        <w:rPr>
          <w:sz w:val="22"/>
          <w:szCs w:val="22"/>
        </w:rPr>
        <w:t>jeb 12,76% no kopējiem budžeta izdevumiem, kas ir par 91,23 % vairāk nekā 2019. gadā.</w:t>
      </w:r>
      <w:r w:rsidRPr="00384E70">
        <w:rPr>
          <w:b/>
          <w:sz w:val="22"/>
          <w:szCs w:val="22"/>
        </w:rPr>
        <w:t xml:space="preserve"> </w:t>
      </w:r>
    </w:p>
    <w:p w14:paraId="3C6E0A17" w14:textId="77777777" w:rsidR="00384E70" w:rsidRPr="00384E70" w:rsidRDefault="00384E70" w:rsidP="00384E70">
      <w:pPr>
        <w:jc w:val="both"/>
        <w:rPr>
          <w:b/>
          <w:sz w:val="6"/>
          <w:szCs w:val="6"/>
        </w:rPr>
      </w:pPr>
    </w:p>
    <w:p w14:paraId="6485F875" w14:textId="77777777" w:rsidR="00384E70" w:rsidRPr="00384E70" w:rsidRDefault="00384E70" w:rsidP="00384E70">
      <w:pPr>
        <w:ind w:left="680"/>
        <w:jc w:val="both"/>
        <w:rPr>
          <w:b/>
          <w:i/>
          <w:sz w:val="22"/>
          <w:szCs w:val="22"/>
        </w:rPr>
      </w:pPr>
      <w:r w:rsidRPr="00384E70">
        <w:rPr>
          <w:rFonts w:asciiTheme="minorHAnsi" w:eastAsiaTheme="minorHAnsi" w:hAnsiTheme="minorHAnsi" w:cstheme="minorBidi"/>
          <w:noProof/>
          <w:sz w:val="22"/>
          <w:szCs w:val="22"/>
        </w:rPr>
        <w:drawing>
          <wp:inline distT="0" distB="0" distL="0" distR="0" wp14:anchorId="2C41D595" wp14:editId="74AB86CC">
            <wp:extent cx="5581650" cy="30861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99941F" w14:textId="77777777" w:rsidR="00384E70" w:rsidRPr="00384E70" w:rsidRDefault="00384E70" w:rsidP="00384E70">
      <w:pPr>
        <w:jc w:val="both"/>
        <w:rPr>
          <w:b/>
          <w:i/>
          <w:sz w:val="22"/>
          <w:szCs w:val="22"/>
        </w:rPr>
      </w:pPr>
    </w:p>
    <w:p w14:paraId="58D42727" w14:textId="77777777" w:rsidR="00384E70" w:rsidRPr="00384E70" w:rsidRDefault="00384E70" w:rsidP="00384E70">
      <w:pPr>
        <w:jc w:val="both"/>
        <w:rPr>
          <w:b/>
          <w:i/>
          <w:sz w:val="10"/>
          <w:szCs w:val="10"/>
        </w:rPr>
      </w:pPr>
    </w:p>
    <w:p w14:paraId="5DEEDE5B" w14:textId="29B46B2A" w:rsidR="00384E70" w:rsidRPr="00384E70" w:rsidRDefault="00384E70" w:rsidP="00384E70">
      <w:pPr>
        <w:ind w:firstLine="680"/>
        <w:jc w:val="both"/>
        <w:rPr>
          <w:color w:val="FF0000"/>
          <w:sz w:val="22"/>
          <w:szCs w:val="22"/>
        </w:rPr>
      </w:pPr>
      <w:r w:rsidRPr="00384E70">
        <w:rPr>
          <w:b/>
          <w:i/>
          <w:sz w:val="22"/>
          <w:szCs w:val="22"/>
        </w:rPr>
        <w:t xml:space="preserve">Finansēšanas daļu </w:t>
      </w:r>
      <w:r w:rsidRPr="00384E70">
        <w:rPr>
          <w:sz w:val="22"/>
          <w:szCs w:val="22"/>
        </w:rPr>
        <w:t>veido aizņēmumi un</w:t>
      </w:r>
      <w:r w:rsidRPr="00384E70">
        <w:rPr>
          <w:b/>
          <w:sz w:val="22"/>
          <w:szCs w:val="22"/>
        </w:rPr>
        <w:t xml:space="preserve"> </w:t>
      </w:r>
      <w:r w:rsidRPr="00384E70">
        <w:rPr>
          <w:sz w:val="22"/>
          <w:szCs w:val="22"/>
        </w:rPr>
        <w:t xml:space="preserve">aizņēmumu atmaksa, skaidras naudas, depozītu apjoma izmaiņas. Amatas novada pašvaldības budžetā ir iekļautas plānotās kredītsaistības ar Valsts kasi </w:t>
      </w:r>
      <w:r w:rsidRPr="00384E70">
        <w:rPr>
          <w:b/>
          <w:color w:val="000000" w:themeColor="text1"/>
          <w:sz w:val="22"/>
          <w:szCs w:val="22"/>
        </w:rPr>
        <w:t>2 737 951</w:t>
      </w:r>
      <w:r w:rsidRPr="00384E70">
        <w:rPr>
          <w:b/>
          <w:bCs/>
          <w:sz w:val="22"/>
          <w:szCs w:val="22"/>
        </w:rPr>
        <w:t xml:space="preserve"> EUR</w:t>
      </w:r>
      <w:r w:rsidRPr="00384E70">
        <w:rPr>
          <w:b/>
          <w:color w:val="000000" w:themeColor="text1"/>
          <w:sz w:val="22"/>
          <w:szCs w:val="22"/>
        </w:rPr>
        <w:t xml:space="preserve">. </w:t>
      </w:r>
      <w:r w:rsidRPr="00384E70">
        <w:rPr>
          <w:bCs/>
          <w:color w:val="000000" w:themeColor="text1"/>
          <w:sz w:val="22"/>
          <w:szCs w:val="22"/>
        </w:rPr>
        <w:t>2020. gadā plānots no Valsts Kases projektu realizācijai paņemt kredītu</w:t>
      </w:r>
      <w:r w:rsidRPr="00384E70">
        <w:rPr>
          <w:b/>
          <w:color w:val="000000" w:themeColor="text1"/>
          <w:sz w:val="22"/>
          <w:szCs w:val="22"/>
        </w:rPr>
        <w:t xml:space="preserve"> 263</w:t>
      </w:r>
      <w:r w:rsidR="004B5C72">
        <w:rPr>
          <w:b/>
          <w:color w:val="000000" w:themeColor="text1"/>
          <w:sz w:val="22"/>
          <w:szCs w:val="22"/>
        </w:rPr>
        <w:t> </w:t>
      </w:r>
      <w:r w:rsidRPr="00384E70">
        <w:rPr>
          <w:b/>
          <w:color w:val="000000" w:themeColor="text1"/>
          <w:sz w:val="22"/>
          <w:szCs w:val="22"/>
        </w:rPr>
        <w:t>670</w:t>
      </w:r>
      <w:r w:rsidR="004B5C72">
        <w:rPr>
          <w:b/>
          <w:color w:val="000000" w:themeColor="text1"/>
          <w:sz w:val="22"/>
          <w:szCs w:val="22"/>
        </w:rPr>
        <w:t> </w:t>
      </w:r>
      <w:r w:rsidRPr="00384E70">
        <w:rPr>
          <w:b/>
          <w:color w:val="000000" w:themeColor="text1"/>
          <w:sz w:val="22"/>
          <w:szCs w:val="22"/>
        </w:rPr>
        <w:t xml:space="preserve">EUR. </w:t>
      </w:r>
      <w:r w:rsidRPr="00384E70">
        <w:rPr>
          <w:sz w:val="22"/>
          <w:szCs w:val="22"/>
        </w:rPr>
        <w:t xml:space="preserve">Kredītu pamatsummu atmaksai </w:t>
      </w:r>
      <w:r w:rsidRPr="00384E70">
        <w:rPr>
          <w:color w:val="000000" w:themeColor="text1"/>
          <w:sz w:val="22"/>
          <w:szCs w:val="22"/>
        </w:rPr>
        <w:t xml:space="preserve">plānoti </w:t>
      </w:r>
      <w:r w:rsidRPr="00384E70">
        <w:rPr>
          <w:b/>
          <w:color w:val="000000" w:themeColor="text1"/>
          <w:sz w:val="22"/>
          <w:szCs w:val="22"/>
        </w:rPr>
        <w:t>511 896 EUR</w:t>
      </w:r>
      <w:r w:rsidRPr="00384E70">
        <w:rPr>
          <w:color w:val="000000" w:themeColor="text1"/>
          <w:sz w:val="22"/>
          <w:szCs w:val="22"/>
        </w:rPr>
        <w:t>.</w:t>
      </w:r>
    </w:p>
    <w:p w14:paraId="2FD53C13" w14:textId="77777777" w:rsidR="00384E70" w:rsidRPr="00384E70" w:rsidRDefault="00384E70" w:rsidP="00384E70">
      <w:pPr>
        <w:jc w:val="both"/>
        <w:rPr>
          <w:color w:val="FF0000"/>
          <w:sz w:val="22"/>
          <w:szCs w:val="22"/>
        </w:rPr>
      </w:pPr>
    </w:p>
    <w:p w14:paraId="226E77C6" w14:textId="77777777" w:rsidR="00384E70" w:rsidRPr="00384E70" w:rsidRDefault="00384E70" w:rsidP="00384E70">
      <w:pPr>
        <w:jc w:val="both"/>
        <w:rPr>
          <w:color w:val="FF0000"/>
          <w:sz w:val="22"/>
          <w:szCs w:val="22"/>
        </w:rPr>
      </w:pPr>
    </w:p>
    <w:p w14:paraId="02F5BCBA" w14:textId="77777777" w:rsidR="00384E70" w:rsidRPr="00384E70" w:rsidRDefault="00384E70" w:rsidP="00384E70">
      <w:pPr>
        <w:jc w:val="both"/>
        <w:rPr>
          <w:rFonts w:ascii="Calibri" w:hAnsi="Calibri"/>
          <w:color w:val="000000"/>
          <w:sz w:val="22"/>
          <w:szCs w:val="22"/>
        </w:rPr>
      </w:pPr>
    </w:p>
    <w:p w14:paraId="2855DE39" w14:textId="77777777" w:rsidR="00384E70" w:rsidRPr="00384E70" w:rsidRDefault="00384E70" w:rsidP="00384E70">
      <w:pPr>
        <w:jc w:val="both"/>
        <w:rPr>
          <w:highlight w:val="cyan"/>
        </w:rPr>
      </w:pPr>
      <w:r w:rsidRPr="00384E70">
        <w:rPr>
          <w:color w:val="000000"/>
          <w:sz w:val="22"/>
          <w:szCs w:val="22"/>
        </w:rPr>
        <w:t xml:space="preserve">Domes priekšsēdētāja:                                                                            E. Eglīte                                                                               </w:t>
      </w:r>
    </w:p>
    <w:sectPr w:rsidR="00384E70" w:rsidRPr="00384E70" w:rsidSect="00CB0F6B">
      <w:headerReference w:type="default" r:id="rId21"/>
      <w:footerReference w:type="first" r:id="rId22"/>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0376A" w14:textId="77777777" w:rsidR="00AD1F6A" w:rsidRDefault="00AD1F6A" w:rsidP="00FF43D2">
      <w:r>
        <w:separator/>
      </w:r>
    </w:p>
  </w:endnote>
  <w:endnote w:type="continuationSeparator" w:id="0">
    <w:p w14:paraId="1181D9F4" w14:textId="77777777" w:rsidR="00AD1F6A" w:rsidRDefault="00AD1F6A" w:rsidP="00FF4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New Roman Tild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B49A6" w14:textId="77777777" w:rsidR="00C32217" w:rsidRDefault="00C32217" w:rsidP="00C32217">
    <w:pPr>
      <w:pStyle w:val="Kjen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C0B80" w14:textId="77777777" w:rsidR="00AD1F6A" w:rsidRDefault="00AD1F6A" w:rsidP="00FF43D2">
      <w:r>
        <w:separator/>
      </w:r>
    </w:p>
  </w:footnote>
  <w:footnote w:type="continuationSeparator" w:id="0">
    <w:p w14:paraId="15DE2826" w14:textId="77777777" w:rsidR="00AD1F6A" w:rsidRDefault="00AD1F6A" w:rsidP="00FF4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152622"/>
      <w:docPartObj>
        <w:docPartGallery w:val="Page Numbers (Top of Page)"/>
        <w:docPartUnique/>
      </w:docPartObj>
    </w:sdtPr>
    <w:sdtEndPr/>
    <w:sdtContent>
      <w:p w14:paraId="3062B7F2" w14:textId="77777777" w:rsidR="0031572C" w:rsidRDefault="0031572C" w:rsidP="00D06546">
        <w:pPr>
          <w:pStyle w:val="Galvene"/>
          <w:jc w:val="center"/>
        </w:pPr>
        <w:r>
          <w:fldChar w:fldCharType="begin"/>
        </w:r>
        <w:r>
          <w:instrText>PAGE   \* MERGEFORMAT</w:instrText>
        </w:r>
        <w:r>
          <w:fldChar w:fldCharType="separate"/>
        </w:r>
        <w:r w:rsidR="00443AFE">
          <w:rPr>
            <w:noProof/>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03C0C"/>
    <w:multiLevelType w:val="hybridMultilevel"/>
    <w:tmpl w:val="131449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7A161FE"/>
    <w:multiLevelType w:val="hybridMultilevel"/>
    <w:tmpl w:val="1DF83BEC"/>
    <w:lvl w:ilvl="0" w:tplc="487ADCEA">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F42656"/>
    <w:multiLevelType w:val="multilevel"/>
    <w:tmpl w:val="CDA0FF10"/>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A6B55AD"/>
    <w:multiLevelType w:val="hybridMultilevel"/>
    <w:tmpl w:val="170C8594"/>
    <w:lvl w:ilvl="0" w:tplc="008A17FC">
      <w:start w:val="1"/>
      <w:numFmt w:val="decimal"/>
      <w:lvlText w:val="%1."/>
      <w:lvlJc w:val="center"/>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C955B2A"/>
    <w:multiLevelType w:val="multilevel"/>
    <w:tmpl w:val="0F4C3FF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F7D7168"/>
    <w:multiLevelType w:val="hybridMultilevel"/>
    <w:tmpl w:val="DE5C348E"/>
    <w:lvl w:ilvl="0" w:tplc="0426000F">
      <w:start w:val="1"/>
      <w:numFmt w:val="decimal"/>
      <w:lvlText w:val="%1."/>
      <w:lvlJc w:val="left"/>
      <w:pPr>
        <w:ind w:left="737" w:hanging="360"/>
      </w:pPr>
    </w:lvl>
    <w:lvl w:ilvl="1" w:tplc="04260019" w:tentative="1">
      <w:start w:val="1"/>
      <w:numFmt w:val="lowerLetter"/>
      <w:lvlText w:val="%2."/>
      <w:lvlJc w:val="left"/>
      <w:pPr>
        <w:ind w:left="1457" w:hanging="360"/>
      </w:pPr>
    </w:lvl>
    <w:lvl w:ilvl="2" w:tplc="0426001B" w:tentative="1">
      <w:start w:val="1"/>
      <w:numFmt w:val="lowerRoman"/>
      <w:lvlText w:val="%3."/>
      <w:lvlJc w:val="right"/>
      <w:pPr>
        <w:ind w:left="2177" w:hanging="180"/>
      </w:pPr>
    </w:lvl>
    <w:lvl w:ilvl="3" w:tplc="0426000F" w:tentative="1">
      <w:start w:val="1"/>
      <w:numFmt w:val="decimal"/>
      <w:lvlText w:val="%4."/>
      <w:lvlJc w:val="left"/>
      <w:pPr>
        <w:ind w:left="2897" w:hanging="360"/>
      </w:pPr>
    </w:lvl>
    <w:lvl w:ilvl="4" w:tplc="04260019" w:tentative="1">
      <w:start w:val="1"/>
      <w:numFmt w:val="lowerLetter"/>
      <w:lvlText w:val="%5."/>
      <w:lvlJc w:val="left"/>
      <w:pPr>
        <w:ind w:left="3617" w:hanging="360"/>
      </w:pPr>
    </w:lvl>
    <w:lvl w:ilvl="5" w:tplc="0426001B" w:tentative="1">
      <w:start w:val="1"/>
      <w:numFmt w:val="lowerRoman"/>
      <w:lvlText w:val="%6."/>
      <w:lvlJc w:val="right"/>
      <w:pPr>
        <w:ind w:left="4337" w:hanging="180"/>
      </w:pPr>
    </w:lvl>
    <w:lvl w:ilvl="6" w:tplc="0426000F" w:tentative="1">
      <w:start w:val="1"/>
      <w:numFmt w:val="decimal"/>
      <w:lvlText w:val="%7."/>
      <w:lvlJc w:val="left"/>
      <w:pPr>
        <w:ind w:left="5057" w:hanging="360"/>
      </w:pPr>
    </w:lvl>
    <w:lvl w:ilvl="7" w:tplc="04260019" w:tentative="1">
      <w:start w:val="1"/>
      <w:numFmt w:val="lowerLetter"/>
      <w:lvlText w:val="%8."/>
      <w:lvlJc w:val="left"/>
      <w:pPr>
        <w:ind w:left="5777" w:hanging="360"/>
      </w:pPr>
    </w:lvl>
    <w:lvl w:ilvl="8" w:tplc="0426001B" w:tentative="1">
      <w:start w:val="1"/>
      <w:numFmt w:val="lowerRoman"/>
      <w:lvlText w:val="%9."/>
      <w:lvlJc w:val="right"/>
      <w:pPr>
        <w:ind w:left="6497" w:hanging="180"/>
      </w:pPr>
    </w:lvl>
  </w:abstractNum>
  <w:abstractNum w:abstractNumId="6" w15:restartNumberingAfterBreak="0">
    <w:nsid w:val="104A2A2F"/>
    <w:multiLevelType w:val="singleLevel"/>
    <w:tmpl w:val="6036603C"/>
    <w:lvl w:ilvl="0">
      <w:start w:val="1"/>
      <w:numFmt w:val="decimal"/>
      <w:lvlText w:val="%1."/>
      <w:legacy w:legacy="1" w:legacySpace="0" w:legacyIndent="255"/>
      <w:lvlJc w:val="left"/>
      <w:rPr>
        <w:rFonts w:ascii="Times New Roman" w:hAnsi="Times New Roman" w:cs="Times New Roman" w:hint="default"/>
        <w:i w:val="0"/>
      </w:rPr>
    </w:lvl>
  </w:abstractNum>
  <w:abstractNum w:abstractNumId="7" w15:restartNumberingAfterBreak="0">
    <w:nsid w:val="10FE0AD5"/>
    <w:multiLevelType w:val="hybridMultilevel"/>
    <w:tmpl w:val="31DE6060"/>
    <w:lvl w:ilvl="0" w:tplc="6E7A998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138C19E2"/>
    <w:multiLevelType w:val="multilevel"/>
    <w:tmpl w:val="49BC38D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9" w15:restartNumberingAfterBreak="0">
    <w:nsid w:val="146175FC"/>
    <w:multiLevelType w:val="multilevel"/>
    <w:tmpl w:val="7902AC0E"/>
    <w:lvl w:ilvl="0">
      <w:start w:val="1"/>
      <w:numFmt w:val="decimal"/>
      <w:lvlText w:val="%1."/>
      <w:lvlJc w:val="left"/>
      <w:pPr>
        <w:ind w:left="1080" w:hanging="360"/>
      </w:pPr>
      <w:rPr>
        <w:rFonts w:hint="default"/>
      </w:rPr>
    </w:lvl>
    <w:lvl w:ilvl="1">
      <w:start w:val="1"/>
      <w:numFmt w:val="decimal"/>
      <w:isLgl/>
      <w:lvlText w:val="%1.%2."/>
      <w:lvlJc w:val="left"/>
      <w:pPr>
        <w:ind w:left="2062"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10" w15:restartNumberingAfterBreak="0">
    <w:nsid w:val="14803875"/>
    <w:multiLevelType w:val="multilevel"/>
    <w:tmpl w:val="8EC0D50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55"/>
        </w:tabs>
        <w:ind w:left="1155" w:hanging="435"/>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1" w15:restartNumberingAfterBreak="0">
    <w:nsid w:val="15BA4513"/>
    <w:multiLevelType w:val="hybridMultilevel"/>
    <w:tmpl w:val="F0406BC2"/>
    <w:lvl w:ilvl="0" w:tplc="6726AA3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16946754"/>
    <w:multiLevelType w:val="hybridMultilevel"/>
    <w:tmpl w:val="9B48B49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7CB0408"/>
    <w:multiLevelType w:val="hybridMultilevel"/>
    <w:tmpl w:val="199493B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86C1E5E"/>
    <w:multiLevelType w:val="multilevel"/>
    <w:tmpl w:val="86968A1C"/>
    <w:lvl w:ilvl="0">
      <w:start w:val="1"/>
      <w:numFmt w:val="decimal"/>
      <w:lvlText w:val="%1."/>
      <w:lvlJc w:val="left"/>
      <w:pPr>
        <w:ind w:left="2487" w:hanging="360"/>
      </w:pPr>
      <w:rPr>
        <w:rFonts w:hint="default"/>
      </w:rPr>
    </w:lvl>
    <w:lvl w:ilvl="1">
      <w:start w:val="2"/>
      <w:numFmt w:val="decimal"/>
      <w:isLgl/>
      <w:lvlText w:val="%1.%2."/>
      <w:lvlJc w:val="left"/>
      <w:pPr>
        <w:ind w:left="186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5" w15:restartNumberingAfterBreak="0">
    <w:nsid w:val="1B997B6D"/>
    <w:multiLevelType w:val="hybridMultilevel"/>
    <w:tmpl w:val="5D02A8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C96608F"/>
    <w:multiLevelType w:val="hybridMultilevel"/>
    <w:tmpl w:val="1D127C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1D6C7BA5"/>
    <w:multiLevelType w:val="hybridMultilevel"/>
    <w:tmpl w:val="FD044B5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8" w15:restartNumberingAfterBreak="0">
    <w:nsid w:val="20AB7061"/>
    <w:multiLevelType w:val="hybridMultilevel"/>
    <w:tmpl w:val="E8B87462"/>
    <w:lvl w:ilvl="0" w:tplc="4FC0EDAC">
      <w:start w:val="1"/>
      <w:numFmt w:val="decimal"/>
      <w:lvlText w:val="%1."/>
      <w:lvlJc w:val="left"/>
      <w:pPr>
        <w:ind w:left="720" w:hanging="360"/>
      </w:pPr>
      <w:rPr>
        <w:rFonts w:hint="default"/>
        <w:b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104409A"/>
    <w:multiLevelType w:val="hybridMultilevel"/>
    <w:tmpl w:val="2EEEC2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3400112"/>
    <w:multiLevelType w:val="hybridMultilevel"/>
    <w:tmpl w:val="20F476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24881E1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69E2A50"/>
    <w:multiLevelType w:val="multilevel"/>
    <w:tmpl w:val="8A5E9F8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2F80607"/>
    <w:multiLevelType w:val="hybridMultilevel"/>
    <w:tmpl w:val="71BA69FA"/>
    <w:lvl w:ilvl="0" w:tplc="18B069C8">
      <w:start w:val="1"/>
      <w:numFmt w:val="decimal"/>
      <w:lvlText w:val="%1."/>
      <w:lvlJc w:val="left"/>
      <w:pPr>
        <w:ind w:left="720" w:hanging="360"/>
      </w:pPr>
      <w:rPr>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 w15:restartNumberingAfterBreak="0">
    <w:nsid w:val="3B2A0BA9"/>
    <w:multiLevelType w:val="hybridMultilevel"/>
    <w:tmpl w:val="2C3685E8"/>
    <w:lvl w:ilvl="0" w:tplc="0426000F">
      <w:start w:val="1"/>
      <w:numFmt w:val="decimal"/>
      <w:lvlText w:val="%1."/>
      <w:lvlJc w:val="left"/>
      <w:pPr>
        <w:ind w:left="737" w:hanging="360"/>
      </w:pPr>
    </w:lvl>
    <w:lvl w:ilvl="1" w:tplc="04260019" w:tentative="1">
      <w:start w:val="1"/>
      <w:numFmt w:val="lowerLetter"/>
      <w:lvlText w:val="%2."/>
      <w:lvlJc w:val="left"/>
      <w:pPr>
        <w:ind w:left="1457" w:hanging="360"/>
      </w:pPr>
    </w:lvl>
    <w:lvl w:ilvl="2" w:tplc="0426001B" w:tentative="1">
      <w:start w:val="1"/>
      <w:numFmt w:val="lowerRoman"/>
      <w:lvlText w:val="%3."/>
      <w:lvlJc w:val="right"/>
      <w:pPr>
        <w:ind w:left="2177" w:hanging="180"/>
      </w:pPr>
    </w:lvl>
    <w:lvl w:ilvl="3" w:tplc="0426000F" w:tentative="1">
      <w:start w:val="1"/>
      <w:numFmt w:val="decimal"/>
      <w:lvlText w:val="%4."/>
      <w:lvlJc w:val="left"/>
      <w:pPr>
        <w:ind w:left="2897" w:hanging="360"/>
      </w:pPr>
    </w:lvl>
    <w:lvl w:ilvl="4" w:tplc="04260019" w:tentative="1">
      <w:start w:val="1"/>
      <w:numFmt w:val="lowerLetter"/>
      <w:lvlText w:val="%5."/>
      <w:lvlJc w:val="left"/>
      <w:pPr>
        <w:ind w:left="3617" w:hanging="360"/>
      </w:pPr>
    </w:lvl>
    <w:lvl w:ilvl="5" w:tplc="0426001B" w:tentative="1">
      <w:start w:val="1"/>
      <w:numFmt w:val="lowerRoman"/>
      <w:lvlText w:val="%6."/>
      <w:lvlJc w:val="right"/>
      <w:pPr>
        <w:ind w:left="4337" w:hanging="180"/>
      </w:pPr>
    </w:lvl>
    <w:lvl w:ilvl="6" w:tplc="0426000F" w:tentative="1">
      <w:start w:val="1"/>
      <w:numFmt w:val="decimal"/>
      <w:lvlText w:val="%7."/>
      <w:lvlJc w:val="left"/>
      <w:pPr>
        <w:ind w:left="5057" w:hanging="360"/>
      </w:pPr>
    </w:lvl>
    <w:lvl w:ilvl="7" w:tplc="04260019" w:tentative="1">
      <w:start w:val="1"/>
      <w:numFmt w:val="lowerLetter"/>
      <w:lvlText w:val="%8."/>
      <w:lvlJc w:val="left"/>
      <w:pPr>
        <w:ind w:left="5777" w:hanging="360"/>
      </w:pPr>
    </w:lvl>
    <w:lvl w:ilvl="8" w:tplc="0426001B" w:tentative="1">
      <w:start w:val="1"/>
      <w:numFmt w:val="lowerRoman"/>
      <w:lvlText w:val="%9."/>
      <w:lvlJc w:val="right"/>
      <w:pPr>
        <w:ind w:left="6497" w:hanging="180"/>
      </w:pPr>
    </w:lvl>
  </w:abstractNum>
  <w:abstractNum w:abstractNumId="25" w15:restartNumberingAfterBreak="0">
    <w:nsid w:val="3E4F107E"/>
    <w:multiLevelType w:val="hybridMultilevel"/>
    <w:tmpl w:val="E73EF066"/>
    <w:lvl w:ilvl="0" w:tplc="B6521AE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44D014B3"/>
    <w:multiLevelType w:val="hybridMultilevel"/>
    <w:tmpl w:val="7B224230"/>
    <w:lvl w:ilvl="0" w:tplc="0426000F">
      <w:start w:val="4"/>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5504B73"/>
    <w:multiLevelType w:val="hybridMultilevel"/>
    <w:tmpl w:val="413C112C"/>
    <w:lvl w:ilvl="0" w:tplc="FCD2963E">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8" w15:restartNumberingAfterBreak="0">
    <w:nsid w:val="4B88707D"/>
    <w:multiLevelType w:val="singleLevel"/>
    <w:tmpl w:val="180ABE70"/>
    <w:lvl w:ilvl="0">
      <w:start w:val="1"/>
      <w:numFmt w:val="decimal"/>
      <w:lvlText w:val="%1."/>
      <w:legacy w:legacy="1" w:legacySpace="0" w:legacyIndent="350"/>
      <w:lvlJc w:val="left"/>
      <w:rPr>
        <w:rFonts w:ascii="Times New Roman" w:hAnsi="Times New Roman" w:cs="Times New Roman" w:hint="default"/>
      </w:rPr>
    </w:lvl>
  </w:abstractNum>
  <w:abstractNum w:abstractNumId="29" w15:restartNumberingAfterBreak="0">
    <w:nsid w:val="50790143"/>
    <w:multiLevelType w:val="hybridMultilevel"/>
    <w:tmpl w:val="17CC304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14E54E2"/>
    <w:multiLevelType w:val="hybridMultilevel"/>
    <w:tmpl w:val="4A96C6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34135FC"/>
    <w:multiLevelType w:val="hybridMultilevel"/>
    <w:tmpl w:val="969EB4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39A7BD3"/>
    <w:multiLevelType w:val="multilevel"/>
    <w:tmpl w:val="984AF032"/>
    <w:lvl w:ilvl="0">
      <w:start w:val="1"/>
      <w:numFmt w:val="decimal"/>
      <w:lvlText w:val="%1."/>
      <w:lvlJc w:val="left"/>
      <w:pPr>
        <w:ind w:left="420" w:hanging="360"/>
      </w:pPr>
      <w:rPr>
        <w:rFonts w:hint="default"/>
      </w:rPr>
    </w:lvl>
    <w:lvl w:ilvl="1">
      <w:start w:val="1"/>
      <w:numFmt w:val="decimal"/>
      <w:isLgl/>
      <w:lvlText w:val="%1.%2."/>
      <w:lvlJc w:val="left"/>
      <w:pPr>
        <w:ind w:left="840" w:hanging="4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33" w15:restartNumberingAfterBreak="0">
    <w:nsid w:val="565302BD"/>
    <w:multiLevelType w:val="multilevel"/>
    <w:tmpl w:val="49BC38D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34" w15:restartNumberingAfterBreak="0">
    <w:nsid w:val="565D0762"/>
    <w:multiLevelType w:val="hybridMultilevel"/>
    <w:tmpl w:val="8CC6048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5D54268E"/>
    <w:multiLevelType w:val="hybridMultilevel"/>
    <w:tmpl w:val="A1EC653E"/>
    <w:lvl w:ilvl="0" w:tplc="0426000F">
      <w:start w:val="1"/>
      <w:numFmt w:val="decimal"/>
      <w:lvlText w:val="%1."/>
      <w:lvlJc w:val="left"/>
      <w:pPr>
        <w:ind w:left="1636" w:hanging="360"/>
      </w:pPr>
    </w:lvl>
    <w:lvl w:ilvl="1" w:tplc="04260019" w:tentative="1">
      <w:start w:val="1"/>
      <w:numFmt w:val="lowerLetter"/>
      <w:lvlText w:val="%2."/>
      <w:lvlJc w:val="left"/>
      <w:pPr>
        <w:ind w:left="2356" w:hanging="360"/>
      </w:pPr>
    </w:lvl>
    <w:lvl w:ilvl="2" w:tplc="0426001B" w:tentative="1">
      <w:start w:val="1"/>
      <w:numFmt w:val="lowerRoman"/>
      <w:lvlText w:val="%3."/>
      <w:lvlJc w:val="right"/>
      <w:pPr>
        <w:ind w:left="3076" w:hanging="180"/>
      </w:pPr>
    </w:lvl>
    <w:lvl w:ilvl="3" w:tplc="0426000F" w:tentative="1">
      <w:start w:val="1"/>
      <w:numFmt w:val="decimal"/>
      <w:lvlText w:val="%4."/>
      <w:lvlJc w:val="left"/>
      <w:pPr>
        <w:ind w:left="3796" w:hanging="360"/>
      </w:pPr>
    </w:lvl>
    <w:lvl w:ilvl="4" w:tplc="04260019" w:tentative="1">
      <w:start w:val="1"/>
      <w:numFmt w:val="lowerLetter"/>
      <w:lvlText w:val="%5."/>
      <w:lvlJc w:val="left"/>
      <w:pPr>
        <w:ind w:left="4516" w:hanging="360"/>
      </w:pPr>
    </w:lvl>
    <w:lvl w:ilvl="5" w:tplc="0426001B" w:tentative="1">
      <w:start w:val="1"/>
      <w:numFmt w:val="lowerRoman"/>
      <w:lvlText w:val="%6."/>
      <w:lvlJc w:val="right"/>
      <w:pPr>
        <w:ind w:left="5236" w:hanging="180"/>
      </w:pPr>
    </w:lvl>
    <w:lvl w:ilvl="6" w:tplc="0426000F" w:tentative="1">
      <w:start w:val="1"/>
      <w:numFmt w:val="decimal"/>
      <w:lvlText w:val="%7."/>
      <w:lvlJc w:val="left"/>
      <w:pPr>
        <w:ind w:left="5956" w:hanging="360"/>
      </w:pPr>
    </w:lvl>
    <w:lvl w:ilvl="7" w:tplc="04260019" w:tentative="1">
      <w:start w:val="1"/>
      <w:numFmt w:val="lowerLetter"/>
      <w:lvlText w:val="%8."/>
      <w:lvlJc w:val="left"/>
      <w:pPr>
        <w:ind w:left="6676" w:hanging="360"/>
      </w:pPr>
    </w:lvl>
    <w:lvl w:ilvl="8" w:tplc="0426001B" w:tentative="1">
      <w:start w:val="1"/>
      <w:numFmt w:val="lowerRoman"/>
      <w:lvlText w:val="%9."/>
      <w:lvlJc w:val="right"/>
      <w:pPr>
        <w:ind w:left="7396" w:hanging="180"/>
      </w:pPr>
    </w:lvl>
  </w:abstractNum>
  <w:abstractNum w:abstractNumId="36" w15:restartNumberingAfterBreak="0">
    <w:nsid w:val="5FE75FBE"/>
    <w:multiLevelType w:val="hybridMultilevel"/>
    <w:tmpl w:val="50342DF6"/>
    <w:lvl w:ilvl="0" w:tplc="C4523228">
      <w:start w:val="1"/>
      <w:numFmt w:val="decimal"/>
      <w:lvlText w:val="%1."/>
      <w:lvlJc w:val="left"/>
      <w:pPr>
        <w:ind w:left="1080" w:hanging="360"/>
      </w:pPr>
      <w:rPr>
        <w:b w:val="0"/>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7" w15:restartNumberingAfterBreak="0">
    <w:nsid w:val="602B18A3"/>
    <w:multiLevelType w:val="hybridMultilevel"/>
    <w:tmpl w:val="9F2CDB9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0666D29"/>
    <w:multiLevelType w:val="multilevel"/>
    <w:tmpl w:val="2C0E609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4F31849"/>
    <w:multiLevelType w:val="multilevel"/>
    <w:tmpl w:val="974EEF7C"/>
    <w:lvl w:ilvl="0">
      <w:start w:val="1"/>
      <w:numFmt w:val="decimal"/>
      <w:lvlText w:val="%1."/>
      <w:lvlJc w:val="left"/>
      <w:pPr>
        <w:ind w:left="900" w:hanging="360"/>
      </w:pPr>
      <w:rPr>
        <w:i w:val="0"/>
      </w:rPr>
    </w:lvl>
    <w:lvl w:ilvl="1">
      <w:start w:val="1"/>
      <w:numFmt w:val="decimal"/>
      <w:isLgl/>
      <w:lvlText w:val="%1.%2."/>
      <w:lvlJc w:val="left"/>
      <w:pPr>
        <w:ind w:left="900" w:hanging="360"/>
      </w:pPr>
    </w:lvl>
    <w:lvl w:ilvl="2">
      <w:start w:val="1"/>
      <w:numFmt w:val="decimal"/>
      <w:isLgl/>
      <w:lvlText w:val="%1.%2.%3."/>
      <w:lvlJc w:val="left"/>
      <w:pPr>
        <w:ind w:left="1260" w:hanging="720"/>
      </w:pPr>
    </w:lvl>
    <w:lvl w:ilvl="3">
      <w:start w:val="1"/>
      <w:numFmt w:val="decimal"/>
      <w:isLgl/>
      <w:lvlText w:val="%1.%2.%3.%4."/>
      <w:lvlJc w:val="left"/>
      <w:pPr>
        <w:ind w:left="1260" w:hanging="720"/>
      </w:pPr>
    </w:lvl>
    <w:lvl w:ilvl="4">
      <w:start w:val="1"/>
      <w:numFmt w:val="decimal"/>
      <w:isLgl/>
      <w:lvlText w:val="%1.%2.%3.%4.%5."/>
      <w:lvlJc w:val="left"/>
      <w:pPr>
        <w:ind w:left="1620" w:hanging="1080"/>
      </w:pPr>
    </w:lvl>
    <w:lvl w:ilvl="5">
      <w:start w:val="1"/>
      <w:numFmt w:val="decimal"/>
      <w:isLgl/>
      <w:lvlText w:val="%1.%2.%3.%4.%5.%6."/>
      <w:lvlJc w:val="left"/>
      <w:pPr>
        <w:ind w:left="1620" w:hanging="1080"/>
      </w:pPr>
    </w:lvl>
    <w:lvl w:ilvl="6">
      <w:start w:val="1"/>
      <w:numFmt w:val="decimal"/>
      <w:isLgl/>
      <w:lvlText w:val="%1.%2.%3.%4.%5.%6.%7."/>
      <w:lvlJc w:val="left"/>
      <w:pPr>
        <w:ind w:left="1980" w:hanging="1440"/>
      </w:pPr>
    </w:lvl>
    <w:lvl w:ilvl="7">
      <w:start w:val="1"/>
      <w:numFmt w:val="decimal"/>
      <w:isLgl/>
      <w:lvlText w:val="%1.%2.%3.%4.%5.%6.%7.%8."/>
      <w:lvlJc w:val="left"/>
      <w:pPr>
        <w:ind w:left="1980" w:hanging="1440"/>
      </w:pPr>
    </w:lvl>
    <w:lvl w:ilvl="8">
      <w:start w:val="1"/>
      <w:numFmt w:val="decimal"/>
      <w:isLgl/>
      <w:lvlText w:val="%1.%2.%3.%4.%5.%6.%7.%8.%9."/>
      <w:lvlJc w:val="left"/>
      <w:pPr>
        <w:ind w:left="2340" w:hanging="1800"/>
      </w:pPr>
    </w:lvl>
  </w:abstractNum>
  <w:abstractNum w:abstractNumId="40" w15:restartNumberingAfterBreak="0">
    <w:nsid w:val="67BD1580"/>
    <w:multiLevelType w:val="hybridMultilevel"/>
    <w:tmpl w:val="36FE3C2A"/>
    <w:lvl w:ilvl="0" w:tplc="95D696B8">
      <w:start w:val="1"/>
      <w:numFmt w:val="decimal"/>
      <w:lvlText w:val="%1."/>
      <w:lvlJc w:val="right"/>
      <w:pPr>
        <w:ind w:left="1080" w:hanging="360"/>
      </w:pPr>
      <w:rPr>
        <w:rFonts w:hint="default"/>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1" w15:restartNumberingAfterBreak="0">
    <w:nsid w:val="6A737C9D"/>
    <w:multiLevelType w:val="hybridMultilevel"/>
    <w:tmpl w:val="DB946822"/>
    <w:lvl w:ilvl="0" w:tplc="487ADCEA">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6DEC530C"/>
    <w:multiLevelType w:val="hybridMultilevel"/>
    <w:tmpl w:val="C554D72A"/>
    <w:lvl w:ilvl="0" w:tplc="0426000F">
      <w:start w:val="1"/>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3" w15:restartNumberingAfterBreak="0">
    <w:nsid w:val="6E335ED5"/>
    <w:multiLevelType w:val="multilevel"/>
    <w:tmpl w:val="790E9F10"/>
    <w:lvl w:ilvl="0">
      <w:start w:val="1"/>
      <w:numFmt w:val="decimal"/>
      <w:lvlText w:val="%1."/>
      <w:lvlJc w:val="left"/>
      <w:pPr>
        <w:ind w:left="72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6E9646EC"/>
    <w:multiLevelType w:val="hybridMultilevel"/>
    <w:tmpl w:val="B010CE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97F5584"/>
    <w:multiLevelType w:val="multilevel"/>
    <w:tmpl w:val="B38A2BB0"/>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46" w15:restartNumberingAfterBreak="0">
    <w:nsid w:val="7A5D15DD"/>
    <w:multiLevelType w:val="hybridMultilevel"/>
    <w:tmpl w:val="0CC070DE"/>
    <w:lvl w:ilvl="0" w:tplc="6B3AFD1E">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35"/>
  </w:num>
  <w:num w:numId="5">
    <w:abstractNumId w:val="28"/>
  </w:num>
  <w:num w:numId="6">
    <w:abstractNumId w:val="18"/>
  </w:num>
  <w:num w:numId="7">
    <w:abstractNumId w:val="4"/>
  </w:num>
  <w:num w:numId="8">
    <w:abstractNumId w:val="8"/>
  </w:num>
  <w:num w:numId="9">
    <w:abstractNumId w:val="29"/>
  </w:num>
  <w:num w:numId="10">
    <w:abstractNumId w:val="16"/>
  </w:num>
  <w:num w:numId="11">
    <w:abstractNumId w:val="44"/>
  </w:num>
  <w:num w:numId="12">
    <w:abstractNumId w:val="41"/>
  </w:num>
  <w:num w:numId="13">
    <w:abstractNumId w:val="1"/>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6"/>
  </w:num>
  <w:num w:numId="19">
    <w:abstractNumId w:val="0"/>
  </w:num>
  <w:num w:numId="20">
    <w:abstractNumId w:val="19"/>
  </w:num>
  <w:num w:numId="21">
    <w:abstractNumId w:val="13"/>
  </w:num>
  <w:num w:numId="22">
    <w:abstractNumId w:val="31"/>
  </w:num>
  <w:num w:numId="23">
    <w:abstractNumId w:val="20"/>
  </w:num>
  <w:num w:numId="24">
    <w:abstractNumId w:val="45"/>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7"/>
  </w:num>
  <w:num w:numId="30">
    <w:abstractNumId w:val="26"/>
  </w:num>
  <w:num w:numId="31">
    <w:abstractNumId w:val="14"/>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9"/>
  </w:num>
  <w:num w:numId="35">
    <w:abstractNumId w:val="21"/>
  </w:num>
  <w:num w:numId="36">
    <w:abstractNumId w:val="15"/>
  </w:num>
  <w:num w:numId="37">
    <w:abstractNumId w:val="24"/>
  </w:num>
  <w:num w:numId="38">
    <w:abstractNumId w:val="37"/>
  </w:num>
  <w:num w:numId="39">
    <w:abstractNumId w:val="22"/>
  </w:num>
  <w:num w:numId="40">
    <w:abstractNumId w:val="30"/>
  </w:num>
  <w:num w:numId="41">
    <w:abstractNumId w:val="43"/>
  </w:num>
  <w:num w:numId="42">
    <w:abstractNumId w:val="46"/>
  </w:num>
  <w:num w:numId="43">
    <w:abstractNumId w:val="2"/>
  </w:num>
  <w:num w:numId="44">
    <w:abstractNumId w:val="33"/>
  </w:num>
  <w:num w:numId="45">
    <w:abstractNumId w:val="12"/>
  </w:num>
  <w:num w:numId="46">
    <w:abstractNumId w:val="10"/>
  </w:num>
  <w:num w:numId="47">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098"/>
    <w:rsid w:val="000009A7"/>
    <w:rsid w:val="00012686"/>
    <w:rsid w:val="00015A80"/>
    <w:rsid w:val="000247C7"/>
    <w:rsid w:val="00034966"/>
    <w:rsid w:val="000378E0"/>
    <w:rsid w:val="000449A6"/>
    <w:rsid w:val="00056305"/>
    <w:rsid w:val="000629BF"/>
    <w:rsid w:val="000647A1"/>
    <w:rsid w:val="00067EF8"/>
    <w:rsid w:val="000725AB"/>
    <w:rsid w:val="0007732C"/>
    <w:rsid w:val="00084D83"/>
    <w:rsid w:val="000B1134"/>
    <w:rsid w:val="000C3F51"/>
    <w:rsid w:val="000C6236"/>
    <w:rsid w:val="000D5724"/>
    <w:rsid w:val="000E0415"/>
    <w:rsid w:val="00104B19"/>
    <w:rsid w:val="00130026"/>
    <w:rsid w:val="001404C4"/>
    <w:rsid w:val="001419FE"/>
    <w:rsid w:val="00171293"/>
    <w:rsid w:val="0018509B"/>
    <w:rsid w:val="001862F6"/>
    <w:rsid w:val="00191D4E"/>
    <w:rsid w:val="00194C16"/>
    <w:rsid w:val="0019605F"/>
    <w:rsid w:val="001D3189"/>
    <w:rsid w:val="001D3D8B"/>
    <w:rsid w:val="001F44BB"/>
    <w:rsid w:val="00212306"/>
    <w:rsid w:val="00216B62"/>
    <w:rsid w:val="00221F72"/>
    <w:rsid w:val="00251951"/>
    <w:rsid w:val="00257E54"/>
    <w:rsid w:val="00265DB0"/>
    <w:rsid w:val="00282037"/>
    <w:rsid w:val="00296D0F"/>
    <w:rsid w:val="002B2D76"/>
    <w:rsid w:val="002B4BA8"/>
    <w:rsid w:val="002B779F"/>
    <w:rsid w:val="002C18DB"/>
    <w:rsid w:val="002C2A2F"/>
    <w:rsid w:val="002C7032"/>
    <w:rsid w:val="002E6369"/>
    <w:rsid w:val="003015D4"/>
    <w:rsid w:val="00304648"/>
    <w:rsid w:val="00305636"/>
    <w:rsid w:val="00310897"/>
    <w:rsid w:val="00312F6C"/>
    <w:rsid w:val="0031572C"/>
    <w:rsid w:val="00335B33"/>
    <w:rsid w:val="00341D0B"/>
    <w:rsid w:val="00343EE3"/>
    <w:rsid w:val="00356A8E"/>
    <w:rsid w:val="00360BD9"/>
    <w:rsid w:val="003612CC"/>
    <w:rsid w:val="00364E3D"/>
    <w:rsid w:val="00384E70"/>
    <w:rsid w:val="003937C6"/>
    <w:rsid w:val="00395F5B"/>
    <w:rsid w:val="0039794D"/>
    <w:rsid w:val="003B259C"/>
    <w:rsid w:val="003B41E4"/>
    <w:rsid w:val="003B5B1E"/>
    <w:rsid w:val="003C197C"/>
    <w:rsid w:val="003C3416"/>
    <w:rsid w:val="003C77A8"/>
    <w:rsid w:val="003D0077"/>
    <w:rsid w:val="003D3FBB"/>
    <w:rsid w:val="003E2478"/>
    <w:rsid w:val="003E404C"/>
    <w:rsid w:val="003E6663"/>
    <w:rsid w:val="003F058F"/>
    <w:rsid w:val="003F6F3D"/>
    <w:rsid w:val="004047F8"/>
    <w:rsid w:val="00414B1D"/>
    <w:rsid w:val="00417CB9"/>
    <w:rsid w:val="004226E3"/>
    <w:rsid w:val="00424027"/>
    <w:rsid w:val="00434367"/>
    <w:rsid w:val="0043755E"/>
    <w:rsid w:val="00440AE6"/>
    <w:rsid w:val="00443AFE"/>
    <w:rsid w:val="004506CF"/>
    <w:rsid w:val="00455934"/>
    <w:rsid w:val="004561C8"/>
    <w:rsid w:val="004702A1"/>
    <w:rsid w:val="00473DC8"/>
    <w:rsid w:val="00486BC2"/>
    <w:rsid w:val="00490D17"/>
    <w:rsid w:val="00493FAD"/>
    <w:rsid w:val="00496396"/>
    <w:rsid w:val="004A43FA"/>
    <w:rsid w:val="004A56AE"/>
    <w:rsid w:val="004B5C72"/>
    <w:rsid w:val="004C6F29"/>
    <w:rsid w:val="004E5B2E"/>
    <w:rsid w:val="005075C8"/>
    <w:rsid w:val="00513635"/>
    <w:rsid w:val="0052022D"/>
    <w:rsid w:val="00537E13"/>
    <w:rsid w:val="00541FEF"/>
    <w:rsid w:val="00542BAC"/>
    <w:rsid w:val="00543056"/>
    <w:rsid w:val="00546046"/>
    <w:rsid w:val="00547309"/>
    <w:rsid w:val="00547E63"/>
    <w:rsid w:val="00552A0F"/>
    <w:rsid w:val="005628F5"/>
    <w:rsid w:val="00565A8C"/>
    <w:rsid w:val="00567110"/>
    <w:rsid w:val="00577CB6"/>
    <w:rsid w:val="00584124"/>
    <w:rsid w:val="00584C95"/>
    <w:rsid w:val="005A5265"/>
    <w:rsid w:val="005B24C3"/>
    <w:rsid w:val="005B3FA1"/>
    <w:rsid w:val="005B5DBB"/>
    <w:rsid w:val="005C1B06"/>
    <w:rsid w:val="00600F60"/>
    <w:rsid w:val="00604456"/>
    <w:rsid w:val="006350C4"/>
    <w:rsid w:val="006403FD"/>
    <w:rsid w:val="00643533"/>
    <w:rsid w:val="0065548E"/>
    <w:rsid w:val="00656F08"/>
    <w:rsid w:val="0066102B"/>
    <w:rsid w:val="00665C61"/>
    <w:rsid w:val="00667723"/>
    <w:rsid w:val="0068025E"/>
    <w:rsid w:val="006823C5"/>
    <w:rsid w:val="00685D49"/>
    <w:rsid w:val="006A33F9"/>
    <w:rsid w:val="006B347A"/>
    <w:rsid w:val="006C2F31"/>
    <w:rsid w:val="006D5AEE"/>
    <w:rsid w:val="006F2FD2"/>
    <w:rsid w:val="006F32D9"/>
    <w:rsid w:val="00703328"/>
    <w:rsid w:val="00716887"/>
    <w:rsid w:val="007174E1"/>
    <w:rsid w:val="00717B90"/>
    <w:rsid w:val="0072202D"/>
    <w:rsid w:val="0072519D"/>
    <w:rsid w:val="00742955"/>
    <w:rsid w:val="007432BC"/>
    <w:rsid w:val="007569AB"/>
    <w:rsid w:val="00761D21"/>
    <w:rsid w:val="00765110"/>
    <w:rsid w:val="00780AF7"/>
    <w:rsid w:val="007812A2"/>
    <w:rsid w:val="00791B4D"/>
    <w:rsid w:val="00791C3C"/>
    <w:rsid w:val="007935E7"/>
    <w:rsid w:val="007A7474"/>
    <w:rsid w:val="007B1F1A"/>
    <w:rsid w:val="007B2011"/>
    <w:rsid w:val="007B6523"/>
    <w:rsid w:val="007C0C0F"/>
    <w:rsid w:val="007C22D7"/>
    <w:rsid w:val="007D024F"/>
    <w:rsid w:val="007D6E0A"/>
    <w:rsid w:val="007E07E8"/>
    <w:rsid w:val="007E3389"/>
    <w:rsid w:val="007E4869"/>
    <w:rsid w:val="007F2D9E"/>
    <w:rsid w:val="00801FD9"/>
    <w:rsid w:val="008066A3"/>
    <w:rsid w:val="00835FDA"/>
    <w:rsid w:val="00852819"/>
    <w:rsid w:val="0085785F"/>
    <w:rsid w:val="00860B22"/>
    <w:rsid w:val="00867FEC"/>
    <w:rsid w:val="00870D1A"/>
    <w:rsid w:val="00876600"/>
    <w:rsid w:val="00876853"/>
    <w:rsid w:val="008A0BD5"/>
    <w:rsid w:val="008A6105"/>
    <w:rsid w:val="008B25A7"/>
    <w:rsid w:val="008B2EFD"/>
    <w:rsid w:val="008C40FF"/>
    <w:rsid w:val="008D65E1"/>
    <w:rsid w:val="008E25A4"/>
    <w:rsid w:val="008F1CB1"/>
    <w:rsid w:val="008F4003"/>
    <w:rsid w:val="00900F6B"/>
    <w:rsid w:val="009169D7"/>
    <w:rsid w:val="00937D58"/>
    <w:rsid w:val="00946AF2"/>
    <w:rsid w:val="00950A26"/>
    <w:rsid w:val="00955AF5"/>
    <w:rsid w:val="00956081"/>
    <w:rsid w:val="009631B5"/>
    <w:rsid w:val="009640F0"/>
    <w:rsid w:val="00972011"/>
    <w:rsid w:val="009867E0"/>
    <w:rsid w:val="0099603A"/>
    <w:rsid w:val="009A47C8"/>
    <w:rsid w:val="009B1FAA"/>
    <w:rsid w:val="009E3E40"/>
    <w:rsid w:val="00A05F03"/>
    <w:rsid w:val="00A16525"/>
    <w:rsid w:val="00A65564"/>
    <w:rsid w:val="00A845F9"/>
    <w:rsid w:val="00AA335A"/>
    <w:rsid w:val="00AB244D"/>
    <w:rsid w:val="00AB581F"/>
    <w:rsid w:val="00AC5E9F"/>
    <w:rsid w:val="00AD14F1"/>
    <w:rsid w:val="00AD1F6A"/>
    <w:rsid w:val="00B02DA2"/>
    <w:rsid w:val="00B3114F"/>
    <w:rsid w:val="00B365C5"/>
    <w:rsid w:val="00B41D41"/>
    <w:rsid w:val="00B45102"/>
    <w:rsid w:val="00B45D28"/>
    <w:rsid w:val="00B4634A"/>
    <w:rsid w:val="00B51389"/>
    <w:rsid w:val="00B7306A"/>
    <w:rsid w:val="00B84B4A"/>
    <w:rsid w:val="00B9377A"/>
    <w:rsid w:val="00BA6EEE"/>
    <w:rsid w:val="00BB2286"/>
    <w:rsid w:val="00BC356F"/>
    <w:rsid w:val="00BE4E12"/>
    <w:rsid w:val="00C24FC5"/>
    <w:rsid w:val="00C272EB"/>
    <w:rsid w:val="00C32217"/>
    <w:rsid w:val="00C379E0"/>
    <w:rsid w:val="00C57EFD"/>
    <w:rsid w:val="00C66653"/>
    <w:rsid w:val="00C82B5E"/>
    <w:rsid w:val="00C922BD"/>
    <w:rsid w:val="00C96726"/>
    <w:rsid w:val="00CA48E0"/>
    <w:rsid w:val="00CB0F6B"/>
    <w:rsid w:val="00CC204A"/>
    <w:rsid w:val="00CC3A14"/>
    <w:rsid w:val="00CC63AC"/>
    <w:rsid w:val="00CE2717"/>
    <w:rsid w:val="00CE4121"/>
    <w:rsid w:val="00CE563B"/>
    <w:rsid w:val="00CF0769"/>
    <w:rsid w:val="00CF70FF"/>
    <w:rsid w:val="00D001E0"/>
    <w:rsid w:val="00D021FB"/>
    <w:rsid w:val="00D06546"/>
    <w:rsid w:val="00D21FFF"/>
    <w:rsid w:val="00D33D34"/>
    <w:rsid w:val="00D52DAE"/>
    <w:rsid w:val="00D63CF1"/>
    <w:rsid w:val="00D74043"/>
    <w:rsid w:val="00D74C38"/>
    <w:rsid w:val="00D90AC8"/>
    <w:rsid w:val="00D9340D"/>
    <w:rsid w:val="00DA0391"/>
    <w:rsid w:val="00DA3677"/>
    <w:rsid w:val="00DA7F4D"/>
    <w:rsid w:val="00DB26C1"/>
    <w:rsid w:val="00DB4401"/>
    <w:rsid w:val="00DB7091"/>
    <w:rsid w:val="00DC4A5A"/>
    <w:rsid w:val="00DC7D2B"/>
    <w:rsid w:val="00DD423F"/>
    <w:rsid w:val="00DE50E6"/>
    <w:rsid w:val="00DE57CD"/>
    <w:rsid w:val="00DF25C7"/>
    <w:rsid w:val="00E03F23"/>
    <w:rsid w:val="00E06A59"/>
    <w:rsid w:val="00E13098"/>
    <w:rsid w:val="00E1558E"/>
    <w:rsid w:val="00E17F15"/>
    <w:rsid w:val="00E25D1E"/>
    <w:rsid w:val="00E27DCB"/>
    <w:rsid w:val="00E33AE6"/>
    <w:rsid w:val="00E3663C"/>
    <w:rsid w:val="00E42044"/>
    <w:rsid w:val="00E44360"/>
    <w:rsid w:val="00E45A02"/>
    <w:rsid w:val="00E54C77"/>
    <w:rsid w:val="00E61D66"/>
    <w:rsid w:val="00E66B5E"/>
    <w:rsid w:val="00E93AF1"/>
    <w:rsid w:val="00EB03A7"/>
    <w:rsid w:val="00EB2D91"/>
    <w:rsid w:val="00EC4D8A"/>
    <w:rsid w:val="00ED38A1"/>
    <w:rsid w:val="00ED3DAA"/>
    <w:rsid w:val="00EE200F"/>
    <w:rsid w:val="00EE3AC1"/>
    <w:rsid w:val="00EE4D3E"/>
    <w:rsid w:val="00EE7CD0"/>
    <w:rsid w:val="00EF143D"/>
    <w:rsid w:val="00EF1DAA"/>
    <w:rsid w:val="00EF3D4A"/>
    <w:rsid w:val="00EF4F03"/>
    <w:rsid w:val="00F07FEC"/>
    <w:rsid w:val="00F104ED"/>
    <w:rsid w:val="00F1512B"/>
    <w:rsid w:val="00F227A5"/>
    <w:rsid w:val="00F37781"/>
    <w:rsid w:val="00F46D8D"/>
    <w:rsid w:val="00F57B7E"/>
    <w:rsid w:val="00F726F9"/>
    <w:rsid w:val="00F77F91"/>
    <w:rsid w:val="00F84DE4"/>
    <w:rsid w:val="00F92A2F"/>
    <w:rsid w:val="00F95292"/>
    <w:rsid w:val="00FA5BCB"/>
    <w:rsid w:val="00FA7831"/>
    <w:rsid w:val="00FE007E"/>
    <w:rsid w:val="00FF2954"/>
    <w:rsid w:val="00FF43D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14E32"/>
  <w15:docId w15:val="{00212FC3-5858-4BFF-AAF4-495810339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13098"/>
    <w:pPr>
      <w:spacing w:after="0" w:line="240" w:lineRule="auto"/>
    </w:pPr>
    <w:rPr>
      <w:rFonts w:ascii="Times New Roman" w:eastAsia="Times New Roman" w:hAnsi="Times New Roman" w:cs="Times New Roman"/>
      <w:sz w:val="20"/>
      <w:szCs w:val="20"/>
      <w:lang w:eastAsia="lv-LV"/>
    </w:rPr>
  </w:style>
  <w:style w:type="paragraph" w:styleId="Virsraksts1">
    <w:name w:val="heading 1"/>
    <w:basedOn w:val="Parasts"/>
    <w:next w:val="Parasts"/>
    <w:link w:val="Virsraksts1Rakstz"/>
    <w:qFormat/>
    <w:rsid w:val="00E13098"/>
    <w:pPr>
      <w:keepNext/>
      <w:jc w:val="center"/>
      <w:outlineLvl w:val="0"/>
    </w:pPr>
    <w:rPr>
      <w:rFonts w:ascii="Arial" w:hAnsi="Arial" w:cs="Arial"/>
      <w:b/>
      <w:bCs/>
      <w:sz w:val="28"/>
      <w:szCs w:val="24"/>
    </w:rPr>
  </w:style>
  <w:style w:type="paragraph" w:styleId="Virsraksts2">
    <w:name w:val="heading 2"/>
    <w:basedOn w:val="Parasts"/>
    <w:next w:val="Parasts"/>
    <w:link w:val="Virsraksts2Rakstz"/>
    <w:unhideWhenUsed/>
    <w:qFormat/>
    <w:rsid w:val="00E13098"/>
    <w:pPr>
      <w:keepNext/>
      <w:spacing w:before="240" w:after="60"/>
      <w:outlineLvl w:val="1"/>
    </w:pPr>
    <w:rPr>
      <w:rFonts w:ascii="Cambria" w:hAnsi="Cambria"/>
      <w:b/>
      <w:bCs/>
      <w:i/>
      <w:iCs/>
      <w:sz w:val="28"/>
      <w:szCs w:val="28"/>
    </w:rPr>
  </w:style>
  <w:style w:type="paragraph" w:styleId="Virsraksts3">
    <w:name w:val="heading 3"/>
    <w:basedOn w:val="Parasts"/>
    <w:next w:val="Parasts"/>
    <w:link w:val="Virsraksts3Rakstz"/>
    <w:qFormat/>
    <w:rsid w:val="00CE2717"/>
    <w:pPr>
      <w:keepNext/>
      <w:spacing w:before="240" w:after="60"/>
      <w:outlineLvl w:val="2"/>
    </w:pPr>
    <w:rPr>
      <w:rFonts w:ascii="Arial" w:hAnsi="Arial" w:cs="Arial"/>
      <w:b/>
      <w:bCs/>
      <w:sz w:val="26"/>
      <w:szCs w:val="26"/>
      <w:lang w:val="en-GB" w:eastAsia="en-US"/>
    </w:rPr>
  </w:style>
  <w:style w:type="paragraph" w:styleId="Virsraksts8">
    <w:name w:val="heading 8"/>
    <w:basedOn w:val="Parasts"/>
    <w:next w:val="Parasts"/>
    <w:link w:val="Virsraksts8Rakstz"/>
    <w:qFormat/>
    <w:rsid w:val="00CE2717"/>
    <w:pPr>
      <w:keepNext/>
      <w:jc w:val="center"/>
      <w:outlineLvl w:val="7"/>
    </w:pPr>
    <w:rPr>
      <w:sz w:val="28"/>
      <w:szCs w:val="24"/>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E13098"/>
    <w:rPr>
      <w:rFonts w:ascii="Arial" w:eastAsia="Times New Roman" w:hAnsi="Arial" w:cs="Arial"/>
      <w:b/>
      <w:bCs/>
      <w:sz w:val="28"/>
      <w:szCs w:val="24"/>
      <w:lang w:eastAsia="lv-LV"/>
    </w:rPr>
  </w:style>
  <w:style w:type="character" w:customStyle="1" w:styleId="Virsraksts2Rakstz">
    <w:name w:val="Virsraksts 2 Rakstz."/>
    <w:basedOn w:val="Noklusjumarindkopasfonts"/>
    <w:link w:val="Virsraksts2"/>
    <w:rsid w:val="00E13098"/>
    <w:rPr>
      <w:rFonts w:ascii="Cambria" w:eastAsia="Times New Roman" w:hAnsi="Cambria" w:cs="Times New Roman"/>
      <w:b/>
      <w:bCs/>
      <w:i/>
      <w:iCs/>
      <w:sz w:val="28"/>
      <w:szCs w:val="28"/>
      <w:lang w:eastAsia="lv-LV"/>
    </w:rPr>
  </w:style>
  <w:style w:type="character" w:styleId="Hipersaite">
    <w:name w:val="Hyperlink"/>
    <w:basedOn w:val="Noklusjumarindkopasfonts"/>
    <w:uiPriority w:val="99"/>
    <w:unhideWhenUsed/>
    <w:rsid w:val="00E13098"/>
    <w:rPr>
      <w:color w:val="0000FF"/>
      <w:u w:val="single"/>
    </w:rPr>
  </w:style>
  <w:style w:type="paragraph" w:styleId="Sarakstarindkopa">
    <w:name w:val="List Paragraph"/>
    <w:basedOn w:val="Parasts"/>
    <w:link w:val="SarakstarindkopaRakstz"/>
    <w:uiPriority w:val="34"/>
    <w:qFormat/>
    <w:rsid w:val="00E13098"/>
    <w:pPr>
      <w:ind w:left="720"/>
      <w:contextualSpacing/>
    </w:pPr>
  </w:style>
  <w:style w:type="character" w:customStyle="1" w:styleId="SarakstarindkopaRakstz">
    <w:name w:val="Saraksta rindkopa Rakstz."/>
    <w:link w:val="Sarakstarindkopa"/>
    <w:uiPriority w:val="34"/>
    <w:locked/>
    <w:rsid w:val="00E13098"/>
    <w:rPr>
      <w:rFonts w:ascii="Times New Roman" w:eastAsia="Times New Roman" w:hAnsi="Times New Roman" w:cs="Times New Roman"/>
      <w:sz w:val="20"/>
      <w:szCs w:val="20"/>
      <w:lang w:val="en-AU" w:eastAsia="lv-LV"/>
    </w:rPr>
  </w:style>
  <w:style w:type="character" w:customStyle="1" w:styleId="apple-converted-space">
    <w:name w:val="apple-converted-space"/>
    <w:basedOn w:val="Noklusjumarindkopasfonts"/>
    <w:rsid w:val="00D021FB"/>
  </w:style>
  <w:style w:type="paragraph" w:styleId="Galvene">
    <w:name w:val="header"/>
    <w:basedOn w:val="Parasts"/>
    <w:link w:val="GalveneRakstz"/>
    <w:uiPriority w:val="99"/>
    <w:unhideWhenUsed/>
    <w:rsid w:val="00FF43D2"/>
    <w:pPr>
      <w:tabs>
        <w:tab w:val="center" w:pos="4513"/>
        <w:tab w:val="right" w:pos="9026"/>
      </w:tabs>
    </w:pPr>
  </w:style>
  <w:style w:type="character" w:customStyle="1" w:styleId="GalveneRakstz">
    <w:name w:val="Galvene Rakstz."/>
    <w:basedOn w:val="Noklusjumarindkopasfonts"/>
    <w:link w:val="Galvene"/>
    <w:uiPriority w:val="99"/>
    <w:rsid w:val="00FF43D2"/>
    <w:rPr>
      <w:rFonts w:ascii="Times New Roman" w:eastAsia="Times New Roman" w:hAnsi="Times New Roman" w:cs="Times New Roman"/>
      <w:sz w:val="20"/>
      <w:szCs w:val="20"/>
      <w:lang w:eastAsia="lv-LV"/>
    </w:rPr>
  </w:style>
  <w:style w:type="paragraph" w:styleId="Kjene">
    <w:name w:val="footer"/>
    <w:basedOn w:val="Parasts"/>
    <w:link w:val="KjeneRakstz"/>
    <w:uiPriority w:val="99"/>
    <w:unhideWhenUsed/>
    <w:rsid w:val="00FF43D2"/>
    <w:pPr>
      <w:tabs>
        <w:tab w:val="center" w:pos="4513"/>
        <w:tab w:val="right" w:pos="9026"/>
      </w:tabs>
    </w:pPr>
  </w:style>
  <w:style w:type="character" w:customStyle="1" w:styleId="KjeneRakstz">
    <w:name w:val="Kājene Rakstz."/>
    <w:basedOn w:val="Noklusjumarindkopasfonts"/>
    <w:link w:val="Kjene"/>
    <w:uiPriority w:val="99"/>
    <w:rsid w:val="00FF43D2"/>
    <w:rPr>
      <w:rFonts w:ascii="Times New Roman" w:eastAsia="Times New Roman" w:hAnsi="Times New Roman" w:cs="Times New Roman"/>
      <w:sz w:val="20"/>
      <w:szCs w:val="20"/>
      <w:lang w:eastAsia="lv-LV"/>
    </w:rPr>
  </w:style>
  <w:style w:type="character" w:customStyle="1" w:styleId="totalsumreferable">
    <w:name w:val="total_sum_referable"/>
    <w:basedOn w:val="Noklusjumarindkopasfonts"/>
    <w:rsid w:val="003B5B1E"/>
  </w:style>
  <w:style w:type="character" w:customStyle="1" w:styleId="totalcalcsumnovat">
    <w:name w:val="total_calc_sum_no_vat"/>
    <w:basedOn w:val="Noklusjumarindkopasfonts"/>
    <w:rsid w:val="003B5B1E"/>
  </w:style>
  <w:style w:type="paragraph" w:styleId="Paraststmeklis">
    <w:name w:val="Normal (Web)"/>
    <w:basedOn w:val="Parasts"/>
    <w:uiPriority w:val="99"/>
    <w:unhideWhenUsed/>
    <w:rsid w:val="009631B5"/>
    <w:pPr>
      <w:spacing w:before="100" w:beforeAutospacing="1" w:after="100" w:afterAutospacing="1"/>
    </w:pPr>
    <w:rPr>
      <w:sz w:val="24"/>
      <w:szCs w:val="24"/>
    </w:rPr>
  </w:style>
  <w:style w:type="table" w:styleId="Reatabula">
    <w:name w:val="Table Grid"/>
    <w:basedOn w:val="Parastatabula"/>
    <w:uiPriority w:val="59"/>
    <w:rsid w:val="00963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ppusesnumurs">
    <w:name w:val="page number"/>
    <w:basedOn w:val="Noklusjumarindkopasfonts"/>
    <w:rsid w:val="001419FE"/>
  </w:style>
  <w:style w:type="paragraph" w:customStyle="1" w:styleId="tv213tvp">
    <w:name w:val="tv213 tvp"/>
    <w:basedOn w:val="Parasts"/>
    <w:uiPriority w:val="99"/>
    <w:rsid w:val="00B02DA2"/>
    <w:pPr>
      <w:spacing w:before="100" w:beforeAutospacing="1" w:after="100" w:afterAutospacing="1"/>
    </w:pPr>
    <w:rPr>
      <w:sz w:val="24"/>
      <w:szCs w:val="24"/>
      <w:lang w:val="en-US" w:eastAsia="en-US"/>
    </w:rPr>
  </w:style>
  <w:style w:type="table" w:customStyle="1" w:styleId="TableGrid11">
    <w:name w:val="Table Grid11"/>
    <w:basedOn w:val="Parastatabula"/>
    <w:next w:val="Reatabula"/>
    <w:uiPriority w:val="59"/>
    <w:rsid w:val="00D33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Noklusjumarindkopasfonts"/>
    <w:link w:val="Virsraksts3"/>
    <w:rsid w:val="00CE2717"/>
    <w:rPr>
      <w:rFonts w:ascii="Arial" w:eastAsia="Times New Roman" w:hAnsi="Arial" w:cs="Arial"/>
      <w:b/>
      <w:bCs/>
      <w:sz w:val="26"/>
      <w:szCs w:val="26"/>
      <w:lang w:val="en-GB"/>
    </w:rPr>
  </w:style>
  <w:style w:type="character" w:customStyle="1" w:styleId="Virsraksts8Rakstz">
    <w:name w:val="Virsraksts 8 Rakstz."/>
    <w:basedOn w:val="Noklusjumarindkopasfonts"/>
    <w:link w:val="Virsraksts8"/>
    <w:rsid w:val="00CE2717"/>
    <w:rPr>
      <w:rFonts w:ascii="Times New Roman" w:eastAsia="Times New Roman" w:hAnsi="Times New Roman" w:cs="Times New Roman"/>
      <w:sz w:val="28"/>
      <w:szCs w:val="24"/>
    </w:rPr>
  </w:style>
  <w:style w:type="table" w:customStyle="1" w:styleId="TableGrid1">
    <w:name w:val="Table Grid1"/>
    <w:basedOn w:val="Parastatabula"/>
    <w:next w:val="Reatabula"/>
    <w:uiPriority w:val="59"/>
    <w:rsid w:val="00CE271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atstarpm1">
    <w:name w:val="Bez atstarpēm1"/>
    <w:qFormat/>
    <w:rsid w:val="00CE2717"/>
    <w:pPr>
      <w:spacing w:after="0" w:line="240" w:lineRule="auto"/>
      <w:jc w:val="both"/>
    </w:pPr>
    <w:rPr>
      <w:rFonts w:ascii="Times New Roman" w:eastAsia="Calibri" w:hAnsi="Times New Roman" w:cs="Times New Roman"/>
      <w:sz w:val="24"/>
    </w:rPr>
  </w:style>
  <w:style w:type="paragraph" w:styleId="Bezatstarpm">
    <w:name w:val="No Spacing"/>
    <w:uiPriority w:val="1"/>
    <w:qFormat/>
    <w:rsid w:val="00CE2717"/>
    <w:pPr>
      <w:spacing w:after="0" w:line="240" w:lineRule="auto"/>
    </w:pPr>
    <w:rPr>
      <w:rFonts w:ascii="Times New Roman" w:eastAsia="Times New Roman" w:hAnsi="Times New Roman" w:cs="Times New Roman"/>
      <w:sz w:val="20"/>
      <w:szCs w:val="20"/>
      <w:lang w:val="en-GB"/>
    </w:rPr>
  </w:style>
  <w:style w:type="paragraph" w:customStyle="1" w:styleId="Default">
    <w:name w:val="Default"/>
    <w:rsid w:val="00CE2717"/>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paragraph" w:styleId="Pamatteksts">
    <w:name w:val="Body Text"/>
    <w:basedOn w:val="Parasts"/>
    <w:link w:val="PamattekstsRakstz"/>
    <w:uiPriority w:val="99"/>
    <w:rsid w:val="00CE2717"/>
    <w:rPr>
      <w:sz w:val="24"/>
      <w:lang w:eastAsia="en-US"/>
    </w:rPr>
  </w:style>
  <w:style w:type="character" w:customStyle="1" w:styleId="PamattekstsRakstz">
    <w:name w:val="Pamatteksts Rakstz."/>
    <w:basedOn w:val="Noklusjumarindkopasfonts"/>
    <w:link w:val="Pamatteksts"/>
    <w:uiPriority w:val="99"/>
    <w:rsid w:val="00CE2717"/>
    <w:rPr>
      <w:rFonts w:ascii="Times New Roman" w:eastAsia="Times New Roman" w:hAnsi="Times New Roman" w:cs="Times New Roman"/>
      <w:sz w:val="24"/>
      <w:szCs w:val="20"/>
    </w:rPr>
  </w:style>
  <w:style w:type="character" w:styleId="Izteiksmgs">
    <w:name w:val="Strong"/>
    <w:uiPriority w:val="22"/>
    <w:qFormat/>
    <w:rsid w:val="00CE2717"/>
    <w:rPr>
      <w:b/>
      <w:bCs/>
    </w:rPr>
  </w:style>
  <w:style w:type="paragraph" w:customStyle="1" w:styleId="RT12">
    <w:name w:val="RT12"/>
    <w:uiPriority w:val="99"/>
    <w:rsid w:val="00CE2717"/>
    <w:pPr>
      <w:spacing w:after="0" w:line="240" w:lineRule="auto"/>
      <w:ind w:firstLine="567"/>
      <w:jc w:val="both"/>
    </w:pPr>
    <w:rPr>
      <w:rFonts w:ascii="Times New Roman" w:eastAsia="Times New Roman" w:hAnsi="Times New Roman" w:cs="Times New Roman"/>
      <w:sz w:val="24"/>
      <w:szCs w:val="20"/>
    </w:rPr>
  </w:style>
  <w:style w:type="character" w:customStyle="1" w:styleId="apple-style-span">
    <w:name w:val="apple-style-span"/>
    <w:basedOn w:val="Noklusjumarindkopasfonts"/>
    <w:rsid w:val="00CE2717"/>
  </w:style>
  <w:style w:type="character" w:customStyle="1" w:styleId="FontStyle13">
    <w:name w:val="Font Style13"/>
    <w:rsid w:val="00CE2717"/>
    <w:rPr>
      <w:rFonts w:ascii="Times New Roman" w:hAnsi="Times New Roman" w:cs="Times New Roman"/>
      <w:sz w:val="22"/>
      <w:szCs w:val="22"/>
    </w:rPr>
  </w:style>
  <w:style w:type="character" w:customStyle="1" w:styleId="FontStyle14">
    <w:name w:val="Font Style14"/>
    <w:rsid w:val="00CE2717"/>
    <w:rPr>
      <w:rFonts w:ascii="Times New Roman" w:hAnsi="Times New Roman" w:cs="Times New Roman"/>
      <w:i/>
      <w:iCs/>
      <w:sz w:val="22"/>
      <w:szCs w:val="22"/>
    </w:rPr>
  </w:style>
  <w:style w:type="paragraph" w:styleId="Nosaukums">
    <w:name w:val="Title"/>
    <w:basedOn w:val="Parasts"/>
    <w:link w:val="NosaukumsRakstz"/>
    <w:qFormat/>
    <w:rsid w:val="00CE2717"/>
    <w:pPr>
      <w:jc w:val="center"/>
    </w:pPr>
    <w:rPr>
      <w:b/>
      <w:bCs/>
      <w:sz w:val="24"/>
      <w:szCs w:val="24"/>
      <w:lang w:eastAsia="en-US"/>
    </w:rPr>
  </w:style>
  <w:style w:type="character" w:customStyle="1" w:styleId="NosaukumsRakstz">
    <w:name w:val="Nosaukums Rakstz."/>
    <w:basedOn w:val="Noklusjumarindkopasfonts"/>
    <w:link w:val="Nosaukums"/>
    <w:rsid w:val="00CE2717"/>
    <w:rPr>
      <w:rFonts w:ascii="Times New Roman" w:eastAsia="Times New Roman" w:hAnsi="Times New Roman" w:cs="Times New Roman"/>
      <w:b/>
      <w:bCs/>
      <w:sz w:val="24"/>
      <w:szCs w:val="24"/>
    </w:rPr>
  </w:style>
  <w:style w:type="paragraph" w:styleId="Balonteksts">
    <w:name w:val="Balloon Text"/>
    <w:basedOn w:val="Parasts"/>
    <w:link w:val="BalontekstsRakstz"/>
    <w:unhideWhenUsed/>
    <w:rsid w:val="00CE2717"/>
    <w:rPr>
      <w:rFonts w:ascii="Tahoma" w:hAnsi="Tahoma" w:cs="Tahoma"/>
      <w:sz w:val="16"/>
      <w:szCs w:val="16"/>
    </w:rPr>
  </w:style>
  <w:style w:type="character" w:customStyle="1" w:styleId="BalontekstsRakstz">
    <w:name w:val="Balonteksts Rakstz."/>
    <w:basedOn w:val="Noklusjumarindkopasfonts"/>
    <w:link w:val="Balonteksts"/>
    <w:rsid w:val="00CE2717"/>
    <w:rPr>
      <w:rFonts w:ascii="Tahoma" w:eastAsia="Times New Roman" w:hAnsi="Tahoma" w:cs="Tahoma"/>
      <w:sz w:val="16"/>
      <w:szCs w:val="16"/>
      <w:lang w:eastAsia="lv-LV"/>
    </w:rPr>
  </w:style>
  <w:style w:type="paragraph" w:styleId="Pamattekstaatkpe2">
    <w:name w:val="Body Text Indent 2"/>
    <w:basedOn w:val="Parasts"/>
    <w:link w:val="Pamattekstaatkpe2Rakstz"/>
    <w:uiPriority w:val="99"/>
    <w:semiHidden/>
    <w:unhideWhenUsed/>
    <w:rsid w:val="00CE2717"/>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CE2717"/>
    <w:rPr>
      <w:rFonts w:ascii="Times New Roman" w:eastAsia="Times New Roman" w:hAnsi="Times New Roman" w:cs="Times New Roman"/>
      <w:sz w:val="20"/>
      <w:szCs w:val="20"/>
      <w:lang w:eastAsia="lv-LV"/>
    </w:rPr>
  </w:style>
  <w:style w:type="paragraph" w:customStyle="1" w:styleId="naislab">
    <w:name w:val="naislab"/>
    <w:basedOn w:val="Parasts"/>
    <w:rsid w:val="00CE2717"/>
    <w:pPr>
      <w:spacing w:before="100" w:beforeAutospacing="1" w:after="100" w:afterAutospacing="1"/>
      <w:jc w:val="right"/>
    </w:pPr>
    <w:rPr>
      <w:sz w:val="24"/>
      <w:szCs w:val="24"/>
      <w:lang w:val="en-US" w:eastAsia="en-US"/>
    </w:rPr>
  </w:style>
  <w:style w:type="paragraph" w:customStyle="1" w:styleId="naisf">
    <w:name w:val="naisf"/>
    <w:basedOn w:val="Parasts"/>
    <w:rsid w:val="00CE2717"/>
    <w:pPr>
      <w:spacing w:before="100" w:beforeAutospacing="1" w:after="100" w:afterAutospacing="1"/>
      <w:jc w:val="both"/>
    </w:pPr>
    <w:rPr>
      <w:rFonts w:eastAsia="Arial Unicode MS"/>
      <w:sz w:val="24"/>
      <w:szCs w:val="24"/>
      <w:lang w:val="en-GB" w:eastAsia="en-US"/>
    </w:rPr>
  </w:style>
  <w:style w:type="paragraph" w:customStyle="1" w:styleId="tv213">
    <w:name w:val="tv213"/>
    <w:basedOn w:val="Parasts"/>
    <w:rsid w:val="00CE2717"/>
    <w:pPr>
      <w:spacing w:before="100" w:beforeAutospacing="1" w:after="100" w:afterAutospacing="1"/>
    </w:pPr>
    <w:rPr>
      <w:sz w:val="24"/>
      <w:szCs w:val="24"/>
    </w:rPr>
  </w:style>
  <w:style w:type="paragraph" w:customStyle="1" w:styleId="labojumupamats">
    <w:name w:val="labojumu_pamats"/>
    <w:basedOn w:val="Parasts"/>
    <w:rsid w:val="00CE2717"/>
    <w:pPr>
      <w:spacing w:before="100" w:beforeAutospacing="1" w:after="100" w:afterAutospacing="1"/>
    </w:pPr>
    <w:rPr>
      <w:sz w:val="24"/>
      <w:szCs w:val="24"/>
    </w:rPr>
  </w:style>
  <w:style w:type="character" w:styleId="Izclums">
    <w:name w:val="Emphasis"/>
    <w:uiPriority w:val="20"/>
    <w:qFormat/>
    <w:rsid w:val="00CE2717"/>
    <w:rPr>
      <w:i/>
      <w:iCs/>
    </w:rPr>
  </w:style>
  <w:style w:type="paragraph" w:styleId="Pamattekstsaratkpi">
    <w:name w:val="Body Text Indent"/>
    <w:basedOn w:val="Parasts"/>
    <w:link w:val="PamattekstsaratkpiRakstz"/>
    <w:unhideWhenUsed/>
    <w:rsid w:val="00CE2717"/>
    <w:pPr>
      <w:spacing w:after="120"/>
      <w:ind w:left="283"/>
    </w:pPr>
    <w:rPr>
      <w:sz w:val="24"/>
      <w:szCs w:val="24"/>
      <w:lang w:eastAsia="en-US"/>
    </w:rPr>
  </w:style>
  <w:style w:type="character" w:customStyle="1" w:styleId="PamattekstsaratkpiRakstz">
    <w:name w:val="Pamatteksts ar atkāpi Rakstz."/>
    <w:basedOn w:val="Noklusjumarindkopasfonts"/>
    <w:link w:val="Pamattekstsaratkpi"/>
    <w:rsid w:val="00CE2717"/>
    <w:rPr>
      <w:rFonts w:ascii="Times New Roman" w:eastAsia="Times New Roman" w:hAnsi="Times New Roman" w:cs="Times New Roman"/>
      <w:sz w:val="24"/>
      <w:szCs w:val="24"/>
    </w:rPr>
  </w:style>
  <w:style w:type="paragraph" w:styleId="Pamatteksts2">
    <w:name w:val="Body Text 2"/>
    <w:basedOn w:val="Parasts"/>
    <w:link w:val="Pamatteksts2Rakstz"/>
    <w:uiPriority w:val="99"/>
    <w:semiHidden/>
    <w:unhideWhenUsed/>
    <w:rsid w:val="00CE2717"/>
    <w:pPr>
      <w:spacing w:after="120" w:line="480" w:lineRule="auto"/>
    </w:pPr>
    <w:rPr>
      <w:sz w:val="24"/>
      <w:szCs w:val="24"/>
      <w:lang w:eastAsia="en-US"/>
    </w:rPr>
  </w:style>
  <w:style w:type="character" w:customStyle="1" w:styleId="Pamatteksts2Rakstz">
    <w:name w:val="Pamatteksts 2 Rakstz."/>
    <w:basedOn w:val="Noklusjumarindkopasfonts"/>
    <w:link w:val="Pamatteksts2"/>
    <w:uiPriority w:val="99"/>
    <w:semiHidden/>
    <w:rsid w:val="00CE2717"/>
    <w:rPr>
      <w:rFonts w:ascii="Times New Roman" w:eastAsia="Times New Roman" w:hAnsi="Times New Roman" w:cs="Times New Roman"/>
      <w:sz w:val="24"/>
      <w:szCs w:val="24"/>
    </w:rPr>
  </w:style>
  <w:style w:type="paragraph" w:styleId="Intensvscitts">
    <w:name w:val="Intense Quote"/>
    <w:basedOn w:val="Parasts"/>
    <w:next w:val="Parasts"/>
    <w:link w:val="IntensvscittsRakstz"/>
    <w:uiPriority w:val="30"/>
    <w:qFormat/>
    <w:rsid w:val="00CE2717"/>
    <w:pPr>
      <w:pBdr>
        <w:bottom w:val="single" w:sz="4" w:space="4" w:color="4F81BD" w:themeColor="accent1"/>
      </w:pBdr>
      <w:spacing w:before="200" w:after="280"/>
      <w:ind w:left="936" w:right="936"/>
    </w:pPr>
    <w:rPr>
      <w:b/>
      <w:bCs/>
      <w:i/>
      <w:iCs/>
      <w:color w:val="4F81BD" w:themeColor="accent1"/>
    </w:rPr>
  </w:style>
  <w:style w:type="character" w:customStyle="1" w:styleId="IntensvscittsRakstz">
    <w:name w:val="Intensīvs citāts Rakstz."/>
    <w:basedOn w:val="Noklusjumarindkopasfonts"/>
    <w:link w:val="Intensvscitts"/>
    <w:uiPriority w:val="30"/>
    <w:rsid w:val="00CE2717"/>
    <w:rPr>
      <w:rFonts w:ascii="Times New Roman" w:eastAsia="Times New Roman" w:hAnsi="Times New Roman" w:cs="Times New Roman"/>
      <w:b/>
      <w:bCs/>
      <w:i/>
      <w:iCs/>
      <w:color w:val="4F81BD" w:themeColor="accent1"/>
      <w:sz w:val="20"/>
      <w:szCs w:val="20"/>
      <w:lang w:eastAsia="lv-LV"/>
    </w:rPr>
  </w:style>
  <w:style w:type="paragraph" w:customStyle="1" w:styleId="PreformattedText">
    <w:name w:val="Preformatted Text"/>
    <w:basedOn w:val="Parasts"/>
    <w:rsid w:val="00CE2717"/>
    <w:pPr>
      <w:widowControl w:val="0"/>
      <w:suppressAutoHyphens/>
    </w:pPr>
    <w:rPr>
      <w:rFonts w:ascii="Courier New" w:eastAsia="Courier New" w:hAnsi="Courier New" w:cs="Courier New"/>
      <w:lang w:val="en-US" w:eastAsia="en-US"/>
    </w:rPr>
  </w:style>
  <w:style w:type="paragraph" w:customStyle="1" w:styleId="1lmenis">
    <w:name w:val="1.līmenis"/>
    <w:basedOn w:val="Pamatteksts"/>
    <w:autoRedefine/>
    <w:rsid w:val="00CE2717"/>
    <w:rPr>
      <w:rFonts w:ascii="Times New Roman Tilde" w:hAnsi="Times New Roman Tilde"/>
      <w:snapToGrid w:val="0"/>
      <w:szCs w:val="24"/>
    </w:rPr>
  </w:style>
  <w:style w:type="character" w:customStyle="1" w:styleId="st">
    <w:name w:val="st"/>
    <w:basedOn w:val="Noklusjumarindkopasfonts"/>
    <w:rsid w:val="00CE2717"/>
  </w:style>
  <w:style w:type="table" w:customStyle="1" w:styleId="TableGrid12">
    <w:name w:val="Table Grid12"/>
    <w:basedOn w:val="Parastatabula"/>
    <w:next w:val="Reatabula"/>
    <w:uiPriority w:val="59"/>
    <w:rsid w:val="00CE2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Bezsaraksta"/>
    <w:semiHidden/>
    <w:unhideWhenUsed/>
    <w:rsid w:val="00CE2717"/>
  </w:style>
  <w:style w:type="character" w:customStyle="1" w:styleId="VrestekstsRakstz">
    <w:name w:val="Vēres teksts Rakstz."/>
    <w:link w:val="Vresteksts"/>
    <w:uiPriority w:val="99"/>
    <w:semiHidden/>
    <w:rsid w:val="00CE2717"/>
    <w:rPr>
      <w:rFonts w:ascii="Times New Roman" w:eastAsia="Times New Roman" w:hAnsi="Times New Roman"/>
      <w:sz w:val="24"/>
      <w:lang w:eastAsia="de-DE"/>
    </w:rPr>
  </w:style>
  <w:style w:type="paragraph" w:styleId="Vresteksts">
    <w:name w:val="footnote text"/>
    <w:basedOn w:val="Parasts"/>
    <w:link w:val="VrestekstsRakstz"/>
    <w:uiPriority w:val="99"/>
    <w:semiHidden/>
    <w:rsid w:val="00CE2717"/>
    <w:pPr>
      <w:ind w:left="1134"/>
      <w:jc w:val="both"/>
    </w:pPr>
    <w:rPr>
      <w:rFonts w:cstheme="minorBidi"/>
      <w:sz w:val="24"/>
      <w:szCs w:val="22"/>
      <w:lang w:eastAsia="de-DE"/>
    </w:rPr>
  </w:style>
  <w:style w:type="character" w:customStyle="1" w:styleId="VrestekstsRakstz1">
    <w:name w:val="Vēres teksts Rakstz.1"/>
    <w:basedOn w:val="Noklusjumarindkopasfonts"/>
    <w:uiPriority w:val="99"/>
    <w:semiHidden/>
    <w:rsid w:val="00CE2717"/>
    <w:rPr>
      <w:rFonts w:ascii="Times New Roman" w:eastAsia="Times New Roman" w:hAnsi="Times New Roman" w:cs="Times New Roman"/>
      <w:sz w:val="20"/>
      <w:szCs w:val="20"/>
      <w:lang w:eastAsia="lv-LV"/>
    </w:rPr>
  </w:style>
  <w:style w:type="character" w:customStyle="1" w:styleId="FootnoteTextChar1">
    <w:name w:val="Footnote Text Char1"/>
    <w:basedOn w:val="Noklusjumarindkopasfonts"/>
    <w:uiPriority w:val="99"/>
    <w:semiHidden/>
    <w:rsid w:val="00CE2717"/>
    <w:rPr>
      <w:rFonts w:ascii="Times New Roman" w:eastAsia="Times New Roman" w:hAnsi="Times New Roman" w:cs="Times New Roman"/>
      <w:sz w:val="20"/>
      <w:szCs w:val="20"/>
      <w:lang w:val="lv-LV" w:eastAsia="lv-LV"/>
    </w:rPr>
  </w:style>
  <w:style w:type="character" w:styleId="Vresatsauce">
    <w:name w:val="footnote reference"/>
    <w:uiPriority w:val="99"/>
    <w:semiHidden/>
    <w:rsid w:val="00CE2717"/>
    <w:rPr>
      <w:sz w:val="22"/>
      <w:vertAlign w:val="superscript"/>
    </w:rPr>
  </w:style>
  <w:style w:type="character" w:customStyle="1" w:styleId="BeiguvrestekstsRakstz">
    <w:name w:val="Beigu vēres teksts Rakstz."/>
    <w:link w:val="Beiguvresteksts"/>
    <w:rsid w:val="00CE2717"/>
    <w:rPr>
      <w:rFonts w:ascii="Times New Roman" w:eastAsia="Times New Roman" w:hAnsi="Times New Roman" w:cs="Times New Roman"/>
      <w:sz w:val="20"/>
      <w:szCs w:val="20"/>
      <w:lang w:eastAsia="lv-LV"/>
    </w:rPr>
  </w:style>
  <w:style w:type="paragraph" w:styleId="Beiguvresteksts">
    <w:name w:val="endnote text"/>
    <w:basedOn w:val="Parasts"/>
    <w:link w:val="BeiguvrestekstsRakstz"/>
    <w:rsid w:val="00CE2717"/>
  </w:style>
  <w:style w:type="character" w:customStyle="1" w:styleId="BeiguvrestekstsRakstz1">
    <w:name w:val="Beigu vēres teksts Rakstz.1"/>
    <w:basedOn w:val="Noklusjumarindkopasfonts"/>
    <w:uiPriority w:val="99"/>
    <w:semiHidden/>
    <w:rsid w:val="00CE2717"/>
    <w:rPr>
      <w:rFonts w:ascii="Times New Roman" w:eastAsia="Times New Roman" w:hAnsi="Times New Roman" w:cs="Times New Roman"/>
      <w:sz w:val="20"/>
      <w:szCs w:val="20"/>
      <w:lang w:eastAsia="lv-LV"/>
    </w:rPr>
  </w:style>
  <w:style w:type="character" w:customStyle="1" w:styleId="EndnoteTextChar1">
    <w:name w:val="Endnote Text Char1"/>
    <w:basedOn w:val="Noklusjumarindkopasfonts"/>
    <w:uiPriority w:val="99"/>
    <w:semiHidden/>
    <w:rsid w:val="00CE2717"/>
    <w:rPr>
      <w:rFonts w:ascii="Times New Roman" w:eastAsia="Times New Roman" w:hAnsi="Times New Roman" w:cs="Times New Roman"/>
      <w:sz w:val="20"/>
      <w:szCs w:val="20"/>
      <w:lang w:val="lv-LV" w:eastAsia="lv-LV"/>
    </w:rPr>
  </w:style>
  <w:style w:type="character" w:customStyle="1" w:styleId="BalloonTextChar1">
    <w:name w:val="Balloon Text Char1"/>
    <w:uiPriority w:val="99"/>
    <w:semiHidden/>
    <w:rsid w:val="00CE2717"/>
    <w:rPr>
      <w:rFonts w:ascii="Tahoma" w:eastAsia="Times New Roman" w:hAnsi="Tahoma" w:cs="Tahoma"/>
      <w:sz w:val="16"/>
      <w:szCs w:val="16"/>
      <w:lang w:eastAsia="lv-LV"/>
    </w:rPr>
  </w:style>
  <w:style w:type="character" w:customStyle="1" w:styleId="KomentratekstsRakstz">
    <w:name w:val="Komentāra teksts Rakstz."/>
    <w:link w:val="Komentrateksts"/>
    <w:semiHidden/>
    <w:rsid w:val="00CE2717"/>
    <w:rPr>
      <w:rFonts w:ascii="Times New Roman" w:eastAsia="Times New Roman" w:hAnsi="Times New Roman"/>
    </w:rPr>
  </w:style>
  <w:style w:type="paragraph" w:styleId="Komentrateksts">
    <w:name w:val="annotation text"/>
    <w:basedOn w:val="Parasts"/>
    <w:link w:val="KomentratekstsRakstz"/>
    <w:semiHidden/>
    <w:rsid w:val="00CE2717"/>
    <w:rPr>
      <w:rFonts w:cstheme="minorBidi"/>
      <w:sz w:val="22"/>
      <w:szCs w:val="22"/>
      <w:lang w:eastAsia="en-US"/>
    </w:rPr>
  </w:style>
  <w:style w:type="character" w:customStyle="1" w:styleId="KomentratekstsRakstz1">
    <w:name w:val="Komentāra teksts Rakstz.1"/>
    <w:basedOn w:val="Noklusjumarindkopasfonts"/>
    <w:uiPriority w:val="99"/>
    <w:semiHidden/>
    <w:rsid w:val="00CE2717"/>
    <w:rPr>
      <w:rFonts w:ascii="Times New Roman" w:eastAsia="Times New Roman" w:hAnsi="Times New Roman" w:cs="Times New Roman"/>
      <w:sz w:val="20"/>
      <w:szCs w:val="20"/>
      <w:lang w:eastAsia="lv-LV"/>
    </w:rPr>
  </w:style>
  <w:style w:type="character" w:customStyle="1" w:styleId="CommentTextChar1">
    <w:name w:val="Comment Text Char1"/>
    <w:basedOn w:val="Noklusjumarindkopasfonts"/>
    <w:uiPriority w:val="99"/>
    <w:semiHidden/>
    <w:rsid w:val="00CE2717"/>
    <w:rPr>
      <w:rFonts w:ascii="Times New Roman" w:eastAsia="Times New Roman" w:hAnsi="Times New Roman" w:cs="Times New Roman"/>
      <w:sz w:val="20"/>
      <w:szCs w:val="20"/>
      <w:lang w:val="lv-LV" w:eastAsia="lv-LV"/>
    </w:rPr>
  </w:style>
  <w:style w:type="character" w:customStyle="1" w:styleId="KomentratmaRakstz">
    <w:name w:val="Komentāra tēma Rakstz."/>
    <w:link w:val="Komentratma"/>
    <w:semiHidden/>
    <w:rsid w:val="00CE2717"/>
    <w:rPr>
      <w:rFonts w:ascii="Times New Roman" w:eastAsia="Times New Roman" w:hAnsi="Times New Roman"/>
      <w:b/>
      <w:bCs/>
    </w:rPr>
  </w:style>
  <w:style w:type="paragraph" w:styleId="Komentratma">
    <w:name w:val="annotation subject"/>
    <w:basedOn w:val="Komentrateksts"/>
    <w:next w:val="Komentrateksts"/>
    <w:link w:val="KomentratmaRakstz"/>
    <w:semiHidden/>
    <w:rsid w:val="00CE2717"/>
    <w:rPr>
      <w:b/>
      <w:bCs/>
    </w:rPr>
  </w:style>
  <w:style w:type="character" w:customStyle="1" w:styleId="KomentratmaRakstz1">
    <w:name w:val="Komentāra tēma Rakstz.1"/>
    <w:basedOn w:val="KomentratekstsRakstz1"/>
    <w:uiPriority w:val="99"/>
    <w:semiHidden/>
    <w:rsid w:val="00CE2717"/>
    <w:rPr>
      <w:rFonts w:ascii="Times New Roman" w:eastAsia="Times New Roman" w:hAnsi="Times New Roman" w:cs="Times New Roman"/>
      <w:b/>
      <w:bCs/>
      <w:sz w:val="20"/>
      <w:szCs w:val="20"/>
      <w:lang w:eastAsia="lv-LV"/>
    </w:rPr>
  </w:style>
  <w:style w:type="character" w:customStyle="1" w:styleId="CommentSubjectChar1">
    <w:name w:val="Comment Subject Char1"/>
    <w:basedOn w:val="CommentTextChar1"/>
    <w:uiPriority w:val="99"/>
    <w:semiHidden/>
    <w:rsid w:val="00CE2717"/>
    <w:rPr>
      <w:rFonts w:ascii="Times New Roman" w:eastAsia="Times New Roman" w:hAnsi="Times New Roman" w:cs="Times New Roman"/>
      <w:b/>
      <w:bCs/>
      <w:sz w:val="20"/>
      <w:szCs w:val="20"/>
      <w:lang w:val="lv-LV" w:eastAsia="lv-LV"/>
    </w:rPr>
  </w:style>
  <w:style w:type="character" w:styleId="Izmantotahipersaite">
    <w:name w:val="FollowedHyperlink"/>
    <w:basedOn w:val="Noklusjumarindkopasfonts"/>
    <w:uiPriority w:val="99"/>
    <w:semiHidden/>
    <w:unhideWhenUsed/>
    <w:rsid w:val="00CE2717"/>
    <w:rPr>
      <w:color w:val="800080"/>
      <w:u w:val="single"/>
    </w:rPr>
  </w:style>
  <w:style w:type="paragraph" w:customStyle="1" w:styleId="xl63">
    <w:name w:val="xl63"/>
    <w:basedOn w:val="Parasts"/>
    <w:rsid w:val="00CE2717"/>
    <w:pPr>
      <w:spacing w:before="100" w:beforeAutospacing="1" w:after="100" w:afterAutospacing="1"/>
    </w:pPr>
    <w:rPr>
      <w:rFonts w:ascii="Arial" w:hAnsi="Arial" w:cs="Arial"/>
      <w:sz w:val="16"/>
      <w:szCs w:val="16"/>
    </w:rPr>
  </w:style>
  <w:style w:type="paragraph" w:customStyle="1" w:styleId="xl64">
    <w:name w:val="xl64"/>
    <w:basedOn w:val="Parasts"/>
    <w:rsid w:val="00CE2717"/>
    <w:pPr>
      <w:spacing w:before="100" w:beforeAutospacing="1" w:after="100" w:afterAutospacing="1"/>
    </w:pPr>
    <w:rPr>
      <w:rFonts w:ascii="Arial" w:hAnsi="Arial" w:cs="Arial"/>
      <w:sz w:val="16"/>
      <w:szCs w:val="16"/>
    </w:rPr>
  </w:style>
  <w:style w:type="paragraph" w:customStyle="1" w:styleId="xl65">
    <w:name w:val="xl65"/>
    <w:basedOn w:val="Parasts"/>
    <w:rsid w:val="00CE2717"/>
    <w:pPr>
      <w:spacing w:before="100" w:beforeAutospacing="1" w:after="100" w:afterAutospacing="1"/>
    </w:pPr>
    <w:rPr>
      <w:rFonts w:ascii="Arial" w:hAnsi="Arial" w:cs="Arial"/>
      <w:b/>
      <w:bCs/>
      <w:sz w:val="24"/>
      <w:szCs w:val="24"/>
    </w:rPr>
  </w:style>
  <w:style w:type="paragraph" w:customStyle="1" w:styleId="xl66">
    <w:name w:val="xl66"/>
    <w:basedOn w:val="Parasts"/>
    <w:rsid w:val="00CE2717"/>
    <w:pPr>
      <w:spacing w:before="100" w:beforeAutospacing="1" w:after="100" w:afterAutospacing="1"/>
    </w:pPr>
    <w:rPr>
      <w:rFonts w:ascii="Arial" w:hAnsi="Arial" w:cs="Arial"/>
      <w:sz w:val="16"/>
      <w:szCs w:val="16"/>
    </w:rPr>
  </w:style>
  <w:style w:type="paragraph" w:customStyle="1" w:styleId="xl67">
    <w:name w:val="xl67"/>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8">
    <w:name w:val="xl68"/>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Parasts"/>
    <w:rsid w:val="00CE2717"/>
    <w:pPr>
      <w:spacing w:before="100" w:beforeAutospacing="1" w:after="100" w:afterAutospacing="1"/>
      <w:textAlignment w:val="top"/>
    </w:pPr>
    <w:rPr>
      <w:rFonts w:ascii="Arial" w:hAnsi="Arial" w:cs="Arial"/>
      <w:sz w:val="16"/>
      <w:szCs w:val="16"/>
    </w:rPr>
  </w:style>
  <w:style w:type="paragraph" w:customStyle="1" w:styleId="xl70">
    <w:name w:val="xl70"/>
    <w:basedOn w:val="Parasts"/>
    <w:rsid w:val="00CE2717"/>
    <w:pPr>
      <w:spacing w:before="100" w:beforeAutospacing="1" w:after="100" w:afterAutospacing="1"/>
      <w:jc w:val="center"/>
      <w:textAlignment w:val="top"/>
    </w:pPr>
    <w:rPr>
      <w:rFonts w:ascii="Arial" w:hAnsi="Arial" w:cs="Arial"/>
      <w:b/>
      <w:bCs/>
      <w:sz w:val="16"/>
      <w:szCs w:val="16"/>
    </w:rPr>
  </w:style>
  <w:style w:type="paragraph" w:customStyle="1" w:styleId="xl71">
    <w:name w:val="xl71"/>
    <w:basedOn w:val="Parasts"/>
    <w:rsid w:val="00CE2717"/>
    <w:pPr>
      <w:spacing w:before="100" w:beforeAutospacing="1" w:after="100" w:afterAutospacing="1"/>
    </w:pPr>
    <w:rPr>
      <w:rFonts w:ascii="Arial" w:hAnsi="Arial" w:cs="Arial"/>
      <w:sz w:val="16"/>
      <w:szCs w:val="16"/>
    </w:rPr>
  </w:style>
  <w:style w:type="paragraph" w:customStyle="1" w:styleId="xl72">
    <w:name w:val="xl72"/>
    <w:basedOn w:val="Parasts"/>
    <w:rsid w:val="00CE2717"/>
    <w:pPr>
      <w:spacing w:before="100" w:beforeAutospacing="1" w:after="100" w:afterAutospacing="1"/>
      <w:textAlignment w:val="top"/>
    </w:pPr>
    <w:rPr>
      <w:rFonts w:ascii="Arial" w:hAnsi="Arial" w:cs="Arial"/>
      <w:sz w:val="16"/>
      <w:szCs w:val="16"/>
    </w:rPr>
  </w:style>
  <w:style w:type="paragraph" w:customStyle="1" w:styleId="xl73">
    <w:name w:val="xl73"/>
    <w:basedOn w:val="Parasts"/>
    <w:rsid w:val="00CE2717"/>
    <w:pPr>
      <w:spacing w:before="100" w:beforeAutospacing="1" w:after="100" w:afterAutospacing="1"/>
      <w:jc w:val="right"/>
      <w:textAlignment w:val="top"/>
    </w:pPr>
    <w:rPr>
      <w:rFonts w:ascii="Arial" w:hAnsi="Arial" w:cs="Arial"/>
      <w:sz w:val="16"/>
      <w:szCs w:val="16"/>
    </w:rPr>
  </w:style>
  <w:style w:type="paragraph" w:customStyle="1" w:styleId="xl74">
    <w:name w:val="xl74"/>
    <w:basedOn w:val="Parasts"/>
    <w:rsid w:val="00CE2717"/>
    <w:pPr>
      <w:spacing w:before="100" w:beforeAutospacing="1" w:after="100" w:afterAutospacing="1"/>
      <w:textAlignment w:val="top"/>
    </w:pPr>
    <w:rPr>
      <w:rFonts w:ascii="Arial" w:hAnsi="Arial" w:cs="Arial"/>
      <w:sz w:val="16"/>
      <w:szCs w:val="16"/>
    </w:rPr>
  </w:style>
  <w:style w:type="paragraph" w:customStyle="1" w:styleId="xl75">
    <w:name w:val="xl75"/>
    <w:basedOn w:val="Parasts"/>
    <w:rsid w:val="00CE2717"/>
    <w:pPr>
      <w:spacing w:before="100" w:beforeAutospacing="1" w:after="100" w:afterAutospacing="1"/>
      <w:jc w:val="right"/>
      <w:textAlignment w:val="top"/>
    </w:pPr>
    <w:rPr>
      <w:rFonts w:ascii="Arial" w:hAnsi="Arial" w:cs="Arial"/>
      <w:sz w:val="16"/>
      <w:szCs w:val="16"/>
    </w:rPr>
  </w:style>
  <w:style w:type="paragraph" w:customStyle="1" w:styleId="xl76">
    <w:name w:val="xl76"/>
    <w:basedOn w:val="Parasts"/>
    <w:rsid w:val="00CE2717"/>
    <w:pPr>
      <w:spacing w:before="100" w:beforeAutospacing="1" w:after="100" w:afterAutospacing="1"/>
      <w:textAlignment w:val="center"/>
    </w:pPr>
    <w:rPr>
      <w:sz w:val="24"/>
      <w:szCs w:val="24"/>
    </w:rPr>
  </w:style>
  <w:style w:type="paragraph" w:customStyle="1" w:styleId="xl77">
    <w:name w:val="xl77"/>
    <w:basedOn w:val="Parasts"/>
    <w:rsid w:val="00CE2717"/>
    <w:pPr>
      <w:spacing w:before="100" w:beforeAutospacing="1" w:after="100" w:afterAutospacing="1"/>
      <w:textAlignment w:val="top"/>
    </w:pPr>
    <w:rPr>
      <w:rFonts w:ascii="Arial" w:hAnsi="Arial" w:cs="Arial"/>
      <w:sz w:val="16"/>
      <w:szCs w:val="16"/>
    </w:rPr>
  </w:style>
  <w:style w:type="paragraph" w:customStyle="1" w:styleId="xl78">
    <w:name w:val="xl78"/>
    <w:basedOn w:val="Parasts"/>
    <w:rsid w:val="00CE2717"/>
    <w:pPr>
      <w:spacing w:before="100" w:beforeAutospacing="1" w:after="100" w:afterAutospacing="1"/>
      <w:textAlignment w:val="top"/>
    </w:pPr>
    <w:rPr>
      <w:rFonts w:ascii="Arial" w:hAnsi="Arial" w:cs="Arial"/>
      <w:b/>
      <w:bCs/>
      <w:sz w:val="16"/>
      <w:szCs w:val="16"/>
    </w:rPr>
  </w:style>
  <w:style w:type="paragraph" w:customStyle="1" w:styleId="xl79">
    <w:name w:val="xl79"/>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1">
    <w:name w:val="xl81"/>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2">
    <w:name w:val="xl82"/>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3">
    <w:name w:val="xl83"/>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4">
    <w:name w:val="xl84"/>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5">
    <w:name w:val="xl85"/>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86">
    <w:name w:val="xl86"/>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87">
    <w:name w:val="xl87"/>
    <w:basedOn w:val="Parasts"/>
    <w:rsid w:val="00CE2717"/>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88">
    <w:name w:val="xl88"/>
    <w:basedOn w:val="Parasts"/>
    <w:rsid w:val="00CE2717"/>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89">
    <w:name w:val="xl89"/>
    <w:basedOn w:val="Parasts"/>
    <w:rsid w:val="00CE2717"/>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90">
    <w:name w:val="xl90"/>
    <w:basedOn w:val="Parasts"/>
    <w:rsid w:val="00CE2717"/>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91">
    <w:name w:val="xl91"/>
    <w:basedOn w:val="Parasts"/>
    <w:rsid w:val="00CE271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sz w:val="16"/>
      <w:szCs w:val="16"/>
    </w:rPr>
  </w:style>
  <w:style w:type="paragraph" w:customStyle="1" w:styleId="xl92">
    <w:name w:val="xl92"/>
    <w:basedOn w:val="Parasts"/>
    <w:rsid w:val="00CE271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sz w:val="16"/>
      <w:szCs w:val="16"/>
    </w:rPr>
  </w:style>
  <w:style w:type="paragraph" w:customStyle="1" w:styleId="xl93">
    <w:name w:val="xl93"/>
    <w:basedOn w:val="Parasts"/>
    <w:rsid w:val="00CE271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sz w:val="16"/>
      <w:szCs w:val="16"/>
    </w:rPr>
  </w:style>
  <w:style w:type="paragraph" w:customStyle="1" w:styleId="xl94">
    <w:name w:val="xl94"/>
    <w:basedOn w:val="Parasts"/>
    <w:rsid w:val="00CE271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sz w:val="16"/>
      <w:szCs w:val="16"/>
    </w:rPr>
  </w:style>
  <w:style w:type="paragraph" w:customStyle="1" w:styleId="xl95">
    <w:name w:val="xl95"/>
    <w:basedOn w:val="Parasts"/>
    <w:rsid w:val="00CE2717"/>
    <w:pPr>
      <w:pBdr>
        <w:top w:val="single" w:sz="4" w:space="0" w:color="000000"/>
        <w:left w:val="single" w:sz="4" w:space="0" w:color="000000"/>
        <w:bottom w:val="single" w:sz="4" w:space="0" w:color="000000"/>
        <w:right w:val="single" w:sz="4" w:space="0" w:color="000000"/>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96">
    <w:name w:val="xl96"/>
    <w:basedOn w:val="Parasts"/>
    <w:rsid w:val="00CE2717"/>
    <w:pPr>
      <w:pBdr>
        <w:top w:val="single" w:sz="4" w:space="0" w:color="000000"/>
        <w:left w:val="single" w:sz="4" w:space="0" w:color="000000"/>
        <w:bottom w:val="single" w:sz="4" w:space="0" w:color="000000"/>
        <w:right w:val="single" w:sz="4" w:space="0" w:color="000000"/>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97">
    <w:name w:val="xl97"/>
    <w:basedOn w:val="Parasts"/>
    <w:rsid w:val="00CE2717"/>
    <w:pPr>
      <w:pBdr>
        <w:top w:val="single" w:sz="4" w:space="0" w:color="000000"/>
        <w:left w:val="single" w:sz="4" w:space="0" w:color="000000"/>
        <w:bottom w:val="single" w:sz="4" w:space="0" w:color="000000"/>
        <w:right w:val="single" w:sz="4" w:space="0" w:color="000000"/>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98">
    <w:name w:val="xl98"/>
    <w:basedOn w:val="Parasts"/>
    <w:rsid w:val="00CE2717"/>
    <w:pPr>
      <w:pBdr>
        <w:top w:val="single" w:sz="4" w:space="0" w:color="000000"/>
        <w:left w:val="single" w:sz="4" w:space="0" w:color="000000"/>
        <w:bottom w:val="single" w:sz="4" w:space="0" w:color="000000"/>
        <w:right w:val="single" w:sz="4" w:space="0" w:color="000000"/>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99">
    <w:name w:val="xl99"/>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100">
    <w:name w:val="xl100"/>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101">
    <w:name w:val="xl101"/>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2">
    <w:name w:val="xl102"/>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3">
    <w:name w:val="xl103"/>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4">
    <w:name w:val="xl104"/>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05">
    <w:name w:val="xl105"/>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06">
    <w:name w:val="xl106"/>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07">
    <w:name w:val="xl107"/>
    <w:basedOn w:val="Parasts"/>
    <w:rsid w:val="00CE2717"/>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108">
    <w:name w:val="xl108"/>
    <w:basedOn w:val="Parasts"/>
    <w:rsid w:val="00CE2717"/>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109">
    <w:name w:val="xl109"/>
    <w:basedOn w:val="Parasts"/>
    <w:rsid w:val="00CE2717"/>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110">
    <w:name w:val="xl110"/>
    <w:basedOn w:val="Parasts"/>
    <w:rsid w:val="00CE2717"/>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111">
    <w:name w:val="xl111"/>
    <w:basedOn w:val="Parasts"/>
    <w:rsid w:val="00CE271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rPr>
  </w:style>
  <w:style w:type="paragraph" w:customStyle="1" w:styleId="xl112">
    <w:name w:val="xl112"/>
    <w:basedOn w:val="Parasts"/>
    <w:rsid w:val="00CE271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113">
    <w:name w:val="xl113"/>
    <w:basedOn w:val="Parasts"/>
    <w:rsid w:val="00CE271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rPr>
  </w:style>
  <w:style w:type="paragraph" w:customStyle="1" w:styleId="xl114">
    <w:name w:val="xl114"/>
    <w:basedOn w:val="Parasts"/>
    <w:rsid w:val="00CE271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rPr>
  </w:style>
  <w:style w:type="paragraph" w:customStyle="1" w:styleId="xl115">
    <w:name w:val="xl115"/>
    <w:basedOn w:val="Parasts"/>
    <w:rsid w:val="00CE2717"/>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jc w:val="center"/>
      <w:textAlignment w:val="top"/>
    </w:pPr>
    <w:rPr>
      <w:rFonts w:ascii="Arial" w:hAnsi="Arial" w:cs="Arial"/>
      <w:b/>
      <w:bCs/>
      <w:sz w:val="16"/>
      <w:szCs w:val="16"/>
    </w:rPr>
  </w:style>
  <w:style w:type="paragraph" w:customStyle="1" w:styleId="xl116">
    <w:name w:val="xl116"/>
    <w:basedOn w:val="Parasts"/>
    <w:rsid w:val="00CE2717"/>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jc w:val="center"/>
      <w:textAlignment w:val="top"/>
    </w:pPr>
    <w:rPr>
      <w:rFonts w:ascii="Arial" w:hAnsi="Arial" w:cs="Arial"/>
      <w:b/>
      <w:bCs/>
      <w:sz w:val="16"/>
      <w:szCs w:val="16"/>
    </w:rPr>
  </w:style>
  <w:style w:type="paragraph" w:customStyle="1" w:styleId="xl117">
    <w:name w:val="xl117"/>
    <w:basedOn w:val="Parasts"/>
    <w:rsid w:val="00CE2717"/>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jc w:val="center"/>
      <w:textAlignment w:val="top"/>
    </w:pPr>
    <w:rPr>
      <w:rFonts w:ascii="Arial" w:hAnsi="Arial" w:cs="Arial"/>
      <w:b/>
      <w:bCs/>
      <w:sz w:val="16"/>
      <w:szCs w:val="16"/>
    </w:rPr>
  </w:style>
  <w:style w:type="paragraph" w:customStyle="1" w:styleId="xl118">
    <w:name w:val="xl118"/>
    <w:basedOn w:val="Parasts"/>
    <w:rsid w:val="00CE2717"/>
    <w:pPr>
      <w:spacing w:before="100" w:beforeAutospacing="1" w:after="100" w:afterAutospacing="1"/>
      <w:textAlignment w:val="top"/>
    </w:pPr>
    <w:rPr>
      <w:rFonts w:ascii="Arial" w:hAnsi="Arial" w:cs="Arial"/>
      <w:b/>
      <w:bCs/>
      <w:sz w:val="16"/>
      <w:szCs w:val="16"/>
      <w:u w:val="single"/>
    </w:rPr>
  </w:style>
  <w:style w:type="paragraph" w:customStyle="1" w:styleId="xl119">
    <w:name w:val="xl119"/>
    <w:basedOn w:val="Parasts"/>
    <w:rsid w:val="00CE2717"/>
    <w:pPr>
      <w:spacing w:before="100" w:beforeAutospacing="1" w:after="100" w:afterAutospacing="1"/>
      <w:textAlignment w:val="top"/>
    </w:pPr>
    <w:rPr>
      <w:rFonts w:ascii="Arial" w:hAnsi="Arial" w:cs="Arial"/>
      <w:b/>
      <w:bCs/>
      <w:sz w:val="16"/>
      <w:szCs w:val="16"/>
      <w:u w:val="single"/>
    </w:rPr>
  </w:style>
  <w:style w:type="paragraph" w:customStyle="1" w:styleId="xl120">
    <w:name w:val="xl120"/>
    <w:basedOn w:val="Parasts"/>
    <w:rsid w:val="00CE2717"/>
    <w:pPr>
      <w:spacing w:before="100" w:beforeAutospacing="1" w:after="100" w:afterAutospacing="1"/>
      <w:textAlignment w:val="top"/>
    </w:pPr>
    <w:rPr>
      <w:rFonts w:ascii="Arial" w:hAnsi="Arial" w:cs="Arial"/>
      <w:b/>
      <w:bCs/>
      <w:sz w:val="16"/>
      <w:szCs w:val="16"/>
      <w:u w:val="single"/>
    </w:rPr>
  </w:style>
  <w:style w:type="paragraph" w:customStyle="1" w:styleId="xl121">
    <w:name w:val="xl121"/>
    <w:basedOn w:val="Parasts"/>
    <w:rsid w:val="00CE2717"/>
    <w:pPr>
      <w:spacing w:before="100" w:beforeAutospacing="1" w:after="100" w:afterAutospacing="1"/>
      <w:textAlignment w:val="top"/>
    </w:pPr>
    <w:rPr>
      <w:rFonts w:ascii="Arial" w:hAnsi="Arial" w:cs="Arial"/>
      <w:b/>
      <w:bCs/>
      <w:sz w:val="16"/>
      <w:szCs w:val="16"/>
      <w:u w:val="single"/>
    </w:rPr>
  </w:style>
  <w:style w:type="paragraph" w:customStyle="1" w:styleId="xl122">
    <w:name w:val="xl122"/>
    <w:basedOn w:val="Parasts"/>
    <w:rsid w:val="00CE271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123">
    <w:name w:val="xl123"/>
    <w:basedOn w:val="Parasts"/>
    <w:rsid w:val="00CE271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124">
    <w:name w:val="xl124"/>
    <w:basedOn w:val="Parasts"/>
    <w:rsid w:val="00CE271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125">
    <w:name w:val="xl125"/>
    <w:basedOn w:val="Parasts"/>
    <w:rsid w:val="00CE271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rPr>
  </w:style>
  <w:style w:type="paragraph" w:customStyle="1" w:styleId="xl126">
    <w:name w:val="xl126"/>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127">
    <w:name w:val="xl127"/>
    <w:basedOn w:val="Parasts"/>
    <w:rsid w:val="00CE2717"/>
    <w:pPr>
      <w:spacing w:before="100" w:beforeAutospacing="1" w:after="100" w:afterAutospacing="1"/>
      <w:jc w:val="right"/>
      <w:textAlignment w:val="top"/>
    </w:pPr>
    <w:rPr>
      <w:rFonts w:ascii="Arial" w:hAnsi="Arial" w:cs="Arial"/>
      <w:sz w:val="16"/>
      <w:szCs w:val="16"/>
    </w:rPr>
  </w:style>
  <w:style w:type="paragraph" w:customStyle="1" w:styleId="xl128">
    <w:name w:val="xl128"/>
    <w:basedOn w:val="Parasts"/>
    <w:rsid w:val="00CE27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table" w:customStyle="1" w:styleId="TableGrid2">
    <w:name w:val="Table Grid2"/>
    <w:basedOn w:val="Parastatabula"/>
    <w:next w:val="Reatabula"/>
    <w:rsid w:val="00CE2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1">
    <w:name w:val="Neatrisināta pieminēšana1"/>
    <w:basedOn w:val="Noklusjumarindkopasfonts"/>
    <w:uiPriority w:val="99"/>
    <w:semiHidden/>
    <w:unhideWhenUsed/>
    <w:rsid w:val="00194C16"/>
    <w:rPr>
      <w:color w:val="808080"/>
      <w:shd w:val="clear" w:color="auto" w:fill="E6E6E6"/>
    </w:rPr>
  </w:style>
  <w:style w:type="table" w:customStyle="1" w:styleId="TableGrid16">
    <w:name w:val="Table Grid16"/>
    <w:basedOn w:val="Parastatabula"/>
    <w:next w:val="Reatabula"/>
    <w:uiPriority w:val="39"/>
    <w:rsid w:val="0087685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Parastatabula"/>
    <w:next w:val="Reatabula"/>
    <w:uiPriority w:val="39"/>
    <w:rsid w:val="0087685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Budžeta ieņēmumi</a:t>
            </a:r>
          </a:p>
          <a:p>
            <a:pPr>
              <a:defRPr/>
            </a:pPr>
            <a:r>
              <a:rPr lang="lv-LV"/>
              <a:t>8 217 177 EUR</a:t>
            </a:r>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0694444444444443"/>
          <c:y val="0.37268518518518517"/>
          <c:w val="0.61111111111111116"/>
          <c:h val="0.57870370370370372"/>
        </c:manualLayout>
      </c:layout>
      <c:pie3DChart>
        <c:varyColors val="1"/>
        <c:ser>
          <c:idx val="0"/>
          <c:order val="0"/>
          <c:explosion val="25"/>
          <c:dPt>
            <c:idx val="2"/>
            <c:bubble3D val="0"/>
            <c:explosion val="23"/>
            <c:extLst>
              <c:ext xmlns:c16="http://schemas.microsoft.com/office/drawing/2014/chart" uri="{C3380CC4-5D6E-409C-BE32-E72D297353CC}">
                <c16:uniqueId val="{00000001-D385-47A8-A48B-1FBD826ACD1C}"/>
              </c:ext>
            </c:extLst>
          </c:dPt>
          <c:dLbls>
            <c:dLbl>
              <c:idx val="0"/>
              <c:layout>
                <c:manualLayout>
                  <c:x val="-4.1647856517935261E-2"/>
                  <c:y val="-0.2481025809273840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385-47A8-A48B-1FBD826ACD1C}"/>
                </c:ext>
              </c:extLst>
            </c:dLbl>
            <c:dLbl>
              <c:idx val="1"/>
              <c:layout>
                <c:manualLayout>
                  <c:x val="5.3248227600781101E-2"/>
                  <c:y val="-7.0375917505784508E-2"/>
                </c:manualLayout>
              </c:layout>
              <c:spPr>
                <a:ln>
                  <a:noFill/>
                </a:ln>
              </c:spPr>
              <c:txPr>
                <a:bodyPr wrap="square" lIns="38100" tIns="19050" rIns="38100" bIns="19050" anchor="ctr">
                  <a:noAutofit/>
                </a:bodyPr>
                <a:lstStyle/>
                <a:p>
                  <a:pPr>
                    <a:defRPr/>
                  </a:pPr>
                  <a:endParaRPr lang="lv-LV"/>
                </a:p>
              </c:txPr>
              <c:showLegendKey val="0"/>
              <c:showVal val="1"/>
              <c:showCatName val="1"/>
              <c:showSerName val="0"/>
              <c:showPercent val="1"/>
              <c:showBubbleSize val="0"/>
              <c:extLst>
                <c:ext xmlns:c15="http://schemas.microsoft.com/office/drawing/2012/chart" uri="{CE6537A1-D6FC-4f65-9D91-7224C49458BB}">
                  <c15:layout>
                    <c:manualLayout>
                      <c:w val="0.2299578207676117"/>
                      <c:h val="0.18163529863645092"/>
                    </c:manualLayout>
                  </c15:layout>
                </c:ext>
                <c:ext xmlns:c16="http://schemas.microsoft.com/office/drawing/2014/chart" uri="{C3380CC4-5D6E-409C-BE32-E72D297353CC}">
                  <c16:uniqueId val="{00000003-D385-47A8-A48B-1FBD826ACD1C}"/>
                </c:ext>
              </c:extLst>
            </c:dLbl>
            <c:dLbl>
              <c:idx val="2"/>
              <c:layout>
                <c:manualLayout>
                  <c:x val="-1.3733239415360613E-2"/>
                  <c:y val="6.215703220024326E-2"/>
                </c:manualLayout>
              </c:layout>
              <c:spPr>
                <a:ln>
                  <a:noFill/>
                </a:ln>
              </c:spPr>
              <c:txPr>
                <a:bodyPr wrap="square" lIns="38100" tIns="19050" rIns="38100" bIns="19050" anchor="ctr">
                  <a:noAutofit/>
                </a:bodyPr>
                <a:lstStyle/>
                <a:p>
                  <a:pPr>
                    <a:defRPr/>
                  </a:pPr>
                  <a:endParaRPr lang="lv-LV"/>
                </a:p>
              </c:txPr>
              <c:showLegendKey val="0"/>
              <c:showVal val="1"/>
              <c:showCatName val="1"/>
              <c:showSerName val="0"/>
              <c:showPercent val="1"/>
              <c:showBubbleSize val="0"/>
              <c:extLst>
                <c:ext xmlns:c15="http://schemas.microsoft.com/office/drawing/2012/chart" uri="{CE6537A1-D6FC-4f65-9D91-7224C49458BB}">
                  <c15:layout>
                    <c:manualLayout>
                      <c:w val="0.20341844649610491"/>
                      <c:h val="0.2179473145125152"/>
                    </c:manualLayout>
                  </c15:layout>
                </c:ext>
                <c:ext xmlns:c16="http://schemas.microsoft.com/office/drawing/2014/chart" uri="{C3380CC4-5D6E-409C-BE32-E72D297353CC}">
                  <c16:uniqueId val="{00000001-D385-47A8-A48B-1FBD826ACD1C}"/>
                </c:ext>
              </c:extLst>
            </c:dLbl>
            <c:dLbl>
              <c:idx val="3"/>
              <c:layout>
                <c:manualLayout>
                  <c:x val="-0.10308300524934383"/>
                  <c:y val="2.554097404491105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385-47A8-A48B-1FBD826ACD1C}"/>
                </c:ext>
              </c:extLst>
            </c:dLbl>
            <c:spPr>
              <a:ln>
                <a:noFill/>
              </a:ln>
            </c:spPr>
            <c:showLegendKey val="0"/>
            <c:showVal val="1"/>
            <c:showCatName val="1"/>
            <c:showSerName val="0"/>
            <c:showPercent val="1"/>
            <c:showBubbleSize val="0"/>
            <c:showLeaderLines val="1"/>
            <c:extLst>
              <c:ext xmlns:c15="http://schemas.microsoft.com/office/drawing/2012/chart" uri="{CE6537A1-D6FC-4f65-9D91-7224C49458BB}"/>
            </c:extLst>
          </c:dLbls>
          <c:cat>
            <c:strRef>
              <c:f>Sheet1!$B$4:$B$7</c:f>
              <c:strCache>
                <c:ptCount val="4"/>
                <c:pt idx="0">
                  <c:v>Nodokļu ieņēmumi </c:v>
                </c:pt>
                <c:pt idx="1">
                  <c:v>Nenodokļu ieņēmumi</c:v>
                </c:pt>
                <c:pt idx="2">
                  <c:v>Transfertu ieņēmumi</c:v>
                </c:pt>
                <c:pt idx="3">
                  <c:v>Budžeta iestāžu ieņēmumi</c:v>
                </c:pt>
              </c:strCache>
            </c:strRef>
          </c:cat>
          <c:val>
            <c:numRef>
              <c:f>Sheet1!$C$4:$C$7</c:f>
              <c:numCache>
                <c:formatCode>#,##0</c:formatCode>
                <c:ptCount val="4"/>
                <c:pt idx="0">
                  <c:v>3266515</c:v>
                </c:pt>
                <c:pt idx="1">
                  <c:v>233332</c:v>
                </c:pt>
                <c:pt idx="2">
                  <c:v>4241693</c:v>
                </c:pt>
                <c:pt idx="3">
                  <c:v>475637</c:v>
                </c:pt>
              </c:numCache>
            </c:numRef>
          </c:val>
          <c:extLst>
            <c:ext xmlns:c16="http://schemas.microsoft.com/office/drawing/2014/chart" uri="{C3380CC4-5D6E-409C-BE32-E72D297353CC}">
              <c16:uniqueId val="{00000005-D385-47A8-A48B-1FBD826ACD1C}"/>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800" b="1" i="0" u="none" strike="noStrike" kern="1200" spc="0" baseline="0">
                <a:solidFill>
                  <a:sysClr val="windowText" lastClr="000000"/>
                </a:solidFill>
                <a:latin typeface="+mn-lt"/>
                <a:ea typeface="+mn-ea"/>
                <a:cs typeface="+mn-cs"/>
              </a:defRPr>
            </a:pPr>
            <a:r>
              <a:rPr lang="en-GB" sz="1800" b="1" i="0" u="none" strike="noStrike" kern="1200" baseline="0">
                <a:solidFill>
                  <a:sysClr val="windowText" lastClr="000000"/>
                </a:solidFill>
                <a:latin typeface="+mn-lt"/>
                <a:ea typeface="+mn-ea"/>
                <a:cs typeface="+mn-cs"/>
              </a:rPr>
              <a:t>Veselība </a:t>
            </a:r>
            <a:r>
              <a:rPr lang="lv-LV" sz="1800" b="1" i="0" u="none" strike="noStrike" kern="1200" baseline="0">
                <a:solidFill>
                  <a:sysClr val="windowText" lastClr="000000"/>
                </a:solidFill>
                <a:latin typeface="+mn-lt"/>
                <a:ea typeface="+mn-ea"/>
                <a:cs typeface="+mn-cs"/>
              </a:rPr>
              <a:t>25 431</a:t>
            </a:r>
            <a:r>
              <a:rPr lang="en-GB" sz="1800" b="1" i="0" u="none" strike="noStrike" kern="1200" baseline="0">
                <a:solidFill>
                  <a:sysClr val="windowText" lastClr="000000"/>
                </a:solidFill>
                <a:latin typeface="+mn-lt"/>
                <a:ea typeface="+mn-ea"/>
                <a:cs typeface="+mn-cs"/>
              </a:rPr>
              <a:t> EUR</a:t>
            </a:r>
          </a:p>
        </c:rich>
      </c:tx>
      <c:overlay val="0"/>
      <c:spPr>
        <a:noFill/>
        <a:ln w="25398">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1805555555555555"/>
          <c:y val="0.25249562554680666"/>
          <c:w val="0.81388888888888888"/>
          <c:h val="0.64767096821230674"/>
        </c:manualLayout>
      </c:layout>
      <c:pie3DChart>
        <c:varyColors val="1"/>
        <c:ser>
          <c:idx val="0"/>
          <c:order val="0"/>
          <c:tx>
            <c:strRef>
              <c:f>Sheet15!$B$6</c:f>
              <c:strCache>
                <c:ptCount val="1"/>
                <c:pt idx="0">
                  <c:v>Pārējie veselības aprūpes pakalpojumi</c:v>
                </c:pt>
              </c:strCache>
            </c:strRef>
          </c:tx>
          <c:dPt>
            <c:idx val="0"/>
            <c:bubble3D val="0"/>
            <c:spPr>
              <a:solidFill>
                <a:schemeClr val="accent1"/>
              </a:solidFill>
              <a:ln w="25398">
                <a:solidFill>
                  <a:schemeClr val="lt1"/>
                </a:solidFill>
              </a:ln>
              <a:effectLst/>
              <a:sp3d contourW="25400">
                <a:contourClr>
                  <a:schemeClr val="lt1"/>
                </a:contourClr>
              </a:sp3d>
            </c:spPr>
            <c:extLst>
              <c:ext xmlns:c16="http://schemas.microsoft.com/office/drawing/2014/chart" uri="{C3380CC4-5D6E-409C-BE32-E72D297353CC}">
                <c16:uniqueId val="{00000001-6510-4A4D-8AD7-C62606B7F5D7}"/>
              </c:ext>
            </c:extLst>
          </c:dPt>
          <c:val>
            <c:numRef>
              <c:f>Sheet15!$C$6</c:f>
              <c:numCache>
                <c:formatCode>General</c:formatCode>
                <c:ptCount val="1"/>
                <c:pt idx="0">
                  <c:v>40071</c:v>
                </c:pt>
              </c:numCache>
            </c:numRef>
          </c:val>
          <c:extLst>
            <c:ext xmlns:c16="http://schemas.microsoft.com/office/drawing/2014/chart" uri="{C3380CC4-5D6E-409C-BE32-E72D297353CC}">
              <c16:uniqueId val="{00000002-6510-4A4D-8AD7-C62606B7F5D7}"/>
            </c:ext>
          </c:extLst>
        </c:ser>
        <c:dLbls>
          <c:showLegendKey val="0"/>
          <c:showVal val="0"/>
          <c:showCatName val="0"/>
          <c:showSerName val="0"/>
          <c:showPercent val="0"/>
          <c:showBubbleSize val="0"/>
          <c:showLeaderLines val="1"/>
        </c:dLbls>
      </c:pie3DChart>
      <c:spPr>
        <a:noFill/>
        <a:ln w="25398">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Atpūta,</a:t>
            </a:r>
            <a:r>
              <a:rPr lang="lv-LV" baseline="0"/>
              <a:t> kultūra un reliģija</a:t>
            </a:r>
          </a:p>
          <a:p>
            <a:pPr>
              <a:defRPr/>
            </a:pPr>
            <a:r>
              <a:rPr lang="lv-LV" baseline="0"/>
              <a:t>715 681 EUR</a:t>
            </a:r>
            <a:endParaRPr lang="lv-LV"/>
          </a:p>
        </c:rich>
      </c:tx>
      <c:layout>
        <c:manualLayout>
          <c:xMode val="edge"/>
          <c:yMode val="edge"/>
          <c:x val="0.22715864259171342"/>
          <c:y val="3.2407407407407406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4583333333333332"/>
          <c:y val="0.4375"/>
          <c:w val="0.50277777777777777"/>
          <c:h val="0.47685185185185186"/>
        </c:manualLayout>
      </c:layout>
      <c:pie3DChart>
        <c:varyColors val="1"/>
        <c:ser>
          <c:idx val="0"/>
          <c:order val="0"/>
          <c:explosion val="30"/>
          <c:dLbls>
            <c:dLbl>
              <c:idx val="0"/>
              <c:layout>
                <c:manualLayout>
                  <c:x val="3.0471705055559656E-2"/>
                  <c:y val="-9.4100469344817181E-2"/>
                </c:manualLayout>
              </c:layout>
              <c:spPr>
                <a:noFill/>
                <a:ln>
                  <a:noFill/>
                </a:ln>
                <a:effectLst/>
              </c:spPr>
              <c:txPr>
                <a:bodyPr wrap="square" lIns="38100" tIns="19050" rIns="38100" bIns="19050" anchor="ctr">
                  <a:noAutofit/>
                </a:bodyPr>
                <a:lstStyle/>
                <a:p>
                  <a:pPr>
                    <a:defRPr/>
                  </a:pPr>
                  <a:endParaRPr lang="lv-LV"/>
                </a:p>
              </c:txPr>
              <c:showLegendKey val="0"/>
              <c:showVal val="1"/>
              <c:showCatName val="1"/>
              <c:showSerName val="0"/>
              <c:showPercent val="1"/>
              <c:showBubbleSize val="0"/>
              <c:extLst>
                <c:ext xmlns:c15="http://schemas.microsoft.com/office/drawing/2012/chart" uri="{CE6537A1-D6FC-4f65-9D91-7224C49458BB}">
                  <c15:layout>
                    <c:manualLayout>
                      <c:w val="0.24548286604361372"/>
                      <c:h val="0.11942806076854333"/>
                    </c:manualLayout>
                  </c15:layout>
                </c:ext>
                <c:ext xmlns:c16="http://schemas.microsoft.com/office/drawing/2014/chart" uri="{C3380CC4-5D6E-409C-BE32-E72D297353CC}">
                  <c16:uniqueId val="{00000000-3F16-4F6D-BA67-55053FF4A582}"/>
                </c:ext>
              </c:extLst>
            </c:dLbl>
            <c:dLbl>
              <c:idx val="1"/>
              <c:layout>
                <c:manualLayout>
                  <c:x val="0.13344607157750141"/>
                  <c:y val="-3.440388986229268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F16-4F6D-BA67-55053FF4A582}"/>
                </c:ext>
              </c:extLst>
            </c:dLbl>
            <c:dLbl>
              <c:idx val="2"/>
              <c:layout>
                <c:manualLayout>
                  <c:x val="5.7802396294862279E-2"/>
                  <c:y val="4.2166445012067864E-3"/>
                </c:manualLayout>
              </c:layout>
              <c:showLegendKey val="0"/>
              <c:showVal val="1"/>
              <c:showCatName val="1"/>
              <c:showSerName val="0"/>
              <c:showPercent val="1"/>
              <c:showBubbleSize val="0"/>
              <c:extLst>
                <c:ext xmlns:c15="http://schemas.microsoft.com/office/drawing/2012/chart" uri="{CE6537A1-D6FC-4f65-9D91-7224C49458BB}">
                  <c15:layout>
                    <c:manualLayout>
                      <c:w val="0.21152629772868498"/>
                      <c:h val="0.14160871982155046"/>
                    </c:manualLayout>
                  </c15:layout>
                </c:ext>
                <c:ext xmlns:c16="http://schemas.microsoft.com/office/drawing/2014/chart" uri="{C3380CC4-5D6E-409C-BE32-E72D297353CC}">
                  <c16:uniqueId val="{00000002-3F16-4F6D-BA67-55053FF4A582}"/>
                </c:ext>
              </c:extLst>
            </c:dLbl>
            <c:dLbl>
              <c:idx val="4"/>
              <c:layout>
                <c:manualLayout>
                  <c:x val="-0.10181406452628734"/>
                  <c:y val="6.7369860017497785E-2"/>
                </c:manualLayout>
              </c:layout>
              <c:showLegendKey val="0"/>
              <c:showVal val="1"/>
              <c:showCatName val="1"/>
              <c:showSerName val="0"/>
              <c:showPercent val="1"/>
              <c:showBubbleSize val="0"/>
              <c:extLst>
                <c:ext xmlns:c15="http://schemas.microsoft.com/office/drawing/2012/chart" uri="{CE6537A1-D6FC-4f65-9D91-7224C49458BB}">
                  <c15:layout>
                    <c:manualLayout>
                      <c:w val="0.22694935217903417"/>
                      <c:h val="0.22886519882065681"/>
                    </c:manualLayout>
                  </c15:layout>
                </c:ext>
                <c:ext xmlns:c16="http://schemas.microsoft.com/office/drawing/2014/chart" uri="{C3380CC4-5D6E-409C-BE32-E72D297353CC}">
                  <c16:uniqueId val="{00000003-3F16-4F6D-BA67-55053FF4A582}"/>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Sheet10!$B$5:$B$9</c:f>
              <c:strCache>
                <c:ptCount val="5"/>
                <c:pt idx="0">
                  <c:v>Bibliotēkas</c:v>
                </c:pt>
                <c:pt idx="1">
                  <c:v>Muzeji un izstādes</c:v>
                </c:pt>
                <c:pt idx="2">
                  <c:v>Kultūras centri, nami, klubi</c:v>
                </c:pt>
                <c:pt idx="3">
                  <c:v>Pārējā citur neklasificētā kultūra</c:v>
                </c:pt>
                <c:pt idx="4">
                  <c:v>Pārējie sporta, atpūtas, kultūras un reliģijas pasākumi</c:v>
                </c:pt>
              </c:strCache>
            </c:strRef>
          </c:cat>
          <c:val>
            <c:numRef>
              <c:f>Sheet10!$C$5:$C$9</c:f>
              <c:numCache>
                <c:formatCode>#,##0</c:formatCode>
                <c:ptCount val="5"/>
                <c:pt idx="0">
                  <c:v>84701</c:v>
                </c:pt>
                <c:pt idx="1">
                  <c:v>12895</c:v>
                </c:pt>
                <c:pt idx="2">
                  <c:v>179346</c:v>
                </c:pt>
                <c:pt idx="3">
                  <c:v>292706</c:v>
                </c:pt>
                <c:pt idx="4">
                  <c:v>146033</c:v>
                </c:pt>
              </c:numCache>
            </c:numRef>
          </c:val>
          <c:extLst>
            <c:ext xmlns:c16="http://schemas.microsoft.com/office/drawing/2014/chart" uri="{C3380CC4-5D6E-409C-BE32-E72D297353CC}">
              <c16:uniqueId val="{00000004-3F16-4F6D-BA67-55053FF4A582}"/>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Izglītība</a:t>
            </a:r>
          </a:p>
          <a:p>
            <a:pPr>
              <a:defRPr/>
            </a:pPr>
            <a:r>
              <a:rPr lang="lv-LV"/>
              <a:t>3 150 674 EUR</a:t>
            </a:r>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5.7660278853528077E-2"/>
          <c:y val="0.30270877180671224"/>
          <c:w val="0.71771029528749919"/>
          <c:h val="0.69397331304134735"/>
        </c:manualLayout>
      </c:layout>
      <c:pie3DChart>
        <c:varyColors val="1"/>
        <c:ser>
          <c:idx val="0"/>
          <c:order val="0"/>
          <c:explosion val="23"/>
          <c:dPt>
            <c:idx val="1"/>
            <c:bubble3D val="0"/>
            <c:explosion val="31"/>
            <c:extLst>
              <c:ext xmlns:c16="http://schemas.microsoft.com/office/drawing/2014/chart" uri="{C3380CC4-5D6E-409C-BE32-E72D297353CC}">
                <c16:uniqueId val="{00000001-0F6A-4549-AA94-791D921B7403}"/>
              </c:ext>
            </c:extLst>
          </c:dPt>
          <c:dLbls>
            <c:dLbl>
              <c:idx val="0"/>
              <c:layout>
                <c:manualLayout>
                  <c:x val="1.0231075924946768E-2"/>
                  <c:y val="4.6512214390387911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F6A-4549-AA94-791D921B7403}"/>
                </c:ext>
              </c:extLst>
            </c:dLbl>
            <c:dLbl>
              <c:idx val="1"/>
              <c:layout>
                <c:manualLayout>
                  <c:x val="7.9938553153155026E-2"/>
                  <c:y val="-8.9386895500338057E-2"/>
                </c:manualLayout>
              </c:layout>
              <c:spPr>
                <a:ln>
                  <a:noFill/>
                </a:ln>
              </c:spPr>
              <c:txPr>
                <a:bodyPr wrap="square" lIns="38100" tIns="19050" rIns="38100" bIns="19050" anchor="ctr">
                  <a:noAutofit/>
                </a:bodyPr>
                <a:lstStyle/>
                <a:p>
                  <a:pPr>
                    <a:defRPr/>
                  </a:pPr>
                  <a:endParaRPr lang="lv-LV"/>
                </a:p>
              </c:txPr>
              <c:showLegendKey val="0"/>
              <c:showVal val="1"/>
              <c:showCatName val="1"/>
              <c:showSerName val="0"/>
              <c:showPercent val="1"/>
              <c:showBubbleSize val="0"/>
              <c:extLst>
                <c:ext xmlns:c15="http://schemas.microsoft.com/office/drawing/2012/chart" uri="{CE6537A1-D6FC-4f65-9D91-7224C49458BB}">
                  <c15:layout>
                    <c:manualLayout>
                      <c:w val="0.17184387328942372"/>
                      <c:h val="0.11740518962075848"/>
                    </c:manualLayout>
                  </c15:layout>
                </c:ext>
                <c:ext xmlns:c16="http://schemas.microsoft.com/office/drawing/2014/chart" uri="{C3380CC4-5D6E-409C-BE32-E72D297353CC}">
                  <c16:uniqueId val="{00000001-0F6A-4549-AA94-791D921B7403}"/>
                </c:ext>
              </c:extLst>
            </c:dLbl>
            <c:dLbl>
              <c:idx val="2"/>
              <c:layout>
                <c:manualLayout>
                  <c:x val="1.3588110403397028E-3"/>
                  <c:y val="0.14224118691750356"/>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6A-4549-AA94-791D921B7403}"/>
                </c:ext>
              </c:extLst>
            </c:dLbl>
            <c:dLbl>
              <c:idx val="3"/>
              <c:layout>
                <c:manualLayout>
                  <c:x val="-0.1042816018626202"/>
                  <c:y val="1.9762993697644077E-2"/>
                </c:manualLayout>
              </c:layout>
              <c:spPr>
                <a:ln>
                  <a:noFill/>
                </a:ln>
              </c:spPr>
              <c:txPr>
                <a:bodyPr wrap="square" lIns="38100" tIns="19050" rIns="38100" bIns="19050" anchor="ctr">
                  <a:noAutofit/>
                </a:bodyPr>
                <a:lstStyle/>
                <a:p>
                  <a:pPr>
                    <a:defRPr/>
                  </a:pPr>
                  <a:endParaRPr lang="lv-LV"/>
                </a:p>
              </c:txPr>
              <c:showLegendKey val="0"/>
              <c:showVal val="1"/>
              <c:showCatName val="1"/>
              <c:showSerName val="0"/>
              <c:showPercent val="1"/>
              <c:showBubbleSize val="0"/>
              <c:extLst>
                <c:ext xmlns:c15="http://schemas.microsoft.com/office/drawing/2012/chart" uri="{CE6537A1-D6FC-4f65-9D91-7224C49458BB}">
                  <c15:layout>
                    <c:manualLayout>
                      <c:w val="0.13896218161409069"/>
                      <c:h val="0.24596822103823848"/>
                    </c:manualLayout>
                  </c15:layout>
                </c:ext>
                <c:ext xmlns:c16="http://schemas.microsoft.com/office/drawing/2014/chart" uri="{C3380CC4-5D6E-409C-BE32-E72D297353CC}">
                  <c16:uniqueId val="{00000004-0F6A-4549-AA94-791D921B7403}"/>
                </c:ext>
              </c:extLst>
            </c:dLbl>
            <c:dLbl>
              <c:idx val="4"/>
              <c:layout>
                <c:manualLayout>
                  <c:x val="-4.4281189851268589E-2"/>
                  <c:y val="-0.1824463505337267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F6A-4549-AA94-791D921B7403}"/>
                </c:ext>
              </c:extLst>
            </c:dLbl>
            <c:dLbl>
              <c:idx val="5"/>
              <c:layout>
                <c:manualLayout>
                  <c:x val="0.31216937366224057"/>
                  <c:y val="4.829710657425304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F6A-4549-AA94-791D921B7403}"/>
                </c:ext>
              </c:extLst>
            </c:dLbl>
            <c:spPr>
              <a:ln>
                <a:noFill/>
              </a:ln>
            </c:spPr>
            <c:showLegendKey val="0"/>
            <c:showVal val="1"/>
            <c:showCatName val="1"/>
            <c:showSerName val="0"/>
            <c:showPercent val="1"/>
            <c:showBubbleSize val="0"/>
            <c:showLeaderLines val="1"/>
            <c:extLst>
              <c:ext xmlns:c15="http://schemas.microsoft.com/office/drawing/2012/chart" uri="{CE6537A1-D6FC-4f65-9D91-7224C49458BB}"/>
            </c:extLst>
          </c:dLbls>
          <c:cat>
            <c:strRef>
              <c:f>Sheet11!$B$6:$B$11</c:f>
              <c:strCache>
                <c:ptCount val="6"/>
                <c:pt idx="1">
                  <c:v>Vispārējā izglītība</c:v>
                </c:pt>
                <c:pt idx="2">
                  <c:v>Interešu un profesionālās ievirzes izglītība</c:v>
                </c:pt>
                <c:pt idx="3">
                  <c:v>Izglītības papildu pakalpojumi</c:v>
                </c:pt>
                <c:pt idx="4">
                  <c:v>Pārējā izglītības vadība</c:v>
                </c:pt>
                <c:pt idx="5">
                  <c:v>Pārējie citur neklasificētie izglītības pakalpojumi</c:v>
                </c:pt>
              </c:strCache>
            </c:strRef>
          </c:cat>
          <c:val>
            <c:numRef>
              <c:f>Sheet11!$C$6:$C$11</c:f>
              <c:numCache>
                <c:formatCode>#,##0</c:formatCode>
                <c:ptCount val="6"/>
                <c:pt idx="1">
                  <c:v>2540363</c:v>
                </c:pt>
                <c:pt idx="2">
                  <c:v>252770</c:v>
                </c:pt>
                <c:pt idx="3">
                  <c:v>207453</c:v>
                </c:pt>
                <c:pt idx="4">
                  <c:v>122088</c:v>
                </c:pt>
                <c:pt idx="5">
                  <c:v>28000</c:v>
                </c:pt>
              </c:numCache>
            </c:numRef>
          </c:val>
          <c:extLst>
            <c:ext xmlns:c16="http://schemas.microsoft.com/office/drawing/2014/chart" uri="{C3380CC4-5D6E-409C-BE32-E72D297353CC}">
              <c16:uniqueId val="{00000007-0F6A-4549-AA94-791D921B7403}"/>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Sociālā</a:t>
            </a:r>
            <a:r>
              <a:rPr lang="lv-LV" baseline="0"/>
              <a:t> aizsardzība</a:t>
            </a:r>
          </a:p>
          <a:p>
            <a:pPr>
              <a:defRPr/>
            </a:pPr>
            <a:r>
              <a:rPr lang="lv-LV" baseline="0"/>
              <a:t>1 168 057 EUR</a:t>
            </a:r>
            <a:endParaRPr lang="lv-LV"/>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1527777777777779"/>
          <c:y val="0.51177541937692561"/>
          <c:w val="0.51111111111111107"/>
          <c:h val="0.4861111111111111"/>
        </c:manualLayout>
      </c:layout>
      <c:pie3DChart>
        <c:varyColors val="1"/>
        <c:ser>
          <c:idx val="0"/>
          <c:order val="0"/>
          <c:explosion val="25"/>
          <c:dLbls>
            <c:dLbl>
              <c:idx val="0"/>
              <c:layout>
                <c:manualLayout>
                  <c:x val="-5.9277668416447944E-2"/>
                  <c:y val="-3.251154475255810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5C3-4FC3-9BD8-D3C744D99F03}"/>
                </c:ext>
              </c:extLst>
            </c:dLbl>
            <c:dLbl>
              <c:idx val="1"/>
              <c:layout>
                <c:manualLayout>
                  <c:x val="-1.0040463692038495E-3"/>
                  <c:y val="-9.540933470272737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5C3-4FC3-9BD8-D3C744D99F03}"/>
                </c:ext>
              </c:extLst>
            </c:dLbl>
            <c:dLbl>
              <c:idx val="2"/>
              <c:layout>
                <c:manualLayout>
                  <c:x val="0.1110838193007444"/>
                  <c:y val="-8.9588477366255179E-2"/>
                </c:manualLayout>
              </c:layout>
              <c:showLegendKey val="0"/>
              <c:showVal val="1"/>
              <c:showCatName val="1"/>
              <c:showSerName val="0"/>
              <c:showPercent val="1"/>
              <c:showBubbleSize val="0"/>
              <c:extLst>
                <c:ext xmlns:c15="http://schemas.microsoft.com/office/drawing/2012/chart" uri="{CE6537A1-D6FC-4f65-9D91-7224C49458BB}">
                  <c15:layout>
                    <c:manualLayout>
                      <c:w val="0.16097838452787258"/>
                      <c:h val="0.31370370370370365"/>
                    </c:manualLayout>
                  </c15:layout>
                </c:ext>
                <c:ext xmlns:c16="http://schemas.microsoft.com/office/drawing/2014/chart" uri="{C3380CC4-5D6E-409C-BE32-E72D297353CC}">
                  <c16:uniqueId val="{00000002-E5C3-4FC3-9BD8-D3C744D99F03}"/>
                </c:ext>
              </c:extLst>
            </c:dLbl>
            <c:dLbl>
              <c:idx val="3"/>
              <c:layout>
                <c:manualLayout>
                  <c:x val="-5.5789370078740158E-2"/>
                  <c:y val="1.0063524668112139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5C3-4FC3-9BD8-D3C744D99F03}"/>
                </c:ext>
              </c:extLst>
            </c:dLbl>
            <c:dLbl>
              <c:idx val="4"/>
              <c:layout>
                <c:manualLayout>
                  <c:x val="-1.5142825896762904E-2"/>
                  <c:y val="-2.175419376925710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5C3-4FC3-9BD8-D3C744D99F03}"/>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Sheet12!$B$5:$B$9</c:f>
              <c:strCache>
                <c:ptCount val="4"/>
                <c:pt idx="0">
                  <c:v>Sociālā aizsardzība invaliditātes gadījumā</c:v>
                </c:pt>
                <c:pt idx="1">
                  <c:v>Pārējais citur neklasificēts atbalsts sociāli atstumtām personām</c:v>
                </c:pt>
                <c:pt idx="2">
                  <c:v>Pārējās citur neklasificātās sociālās aizsardzības pārraudzība</c:v>
                </c:pt>
                <c:pt idx="3">
                  <c:v>Pārējie citur neklasificētie sociālās aizsardzības pasākumi</c:v>
                </c:pt>
              </c:strCache>
            </c:strRef>
          </c:cat>
          <c:val>
            <c:numRef>
              <c:f>Sheet12!$C$5:$C$9</c:f>
              <c:numCache>
                <c:formatCode>#,##0</c:formatCode>
                <c:ptCount val="5"/>
                <c:pt idx="0">
                  <c:v>39157</c:v>
                </c:pt>
                <c:pt idx="1">
                  <c:v>201134</c:v>
                </c:pt>
                <c:pt idx="2">
                  <c:v>334910</c:v>
                </c:pt>
                <c:pt idx="3">
                  <c:v>592856</c:v>
                </c:pt>
              </c:numCache>
            </c:numRef>
          </c:val>
          <c:extLst>
            <c:ext xmlns:c16="http://schemas.microsoft.com/office/drawing/2014/chart" uri="{C3380CC4-5D6E-409C-BE32-E72D297353CC}">
              <c16:uniqueId val="{00000005-E5C3-4FC3-9BD8-D3C744D99F03}"/>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baseline="0"/>
              <a:t>Budžeta ieņēmumi autoceļiem un dabas resursu nodoklim</a:t>
            </a:r>
          </a:p>
          <a:p>
            <a:pPr>
              <a:defRPr/>
            </a:pPr>
            <a:r>
              <a:rPr lang="lv-LV" baseline="0"/>
              <a:t>337 500 EUR</a:t>
            </a:r>
            <a:endParaRPr lang="lv-LV"/>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747679307920012"/>
          <c:y val="0.33814724486872771"/>
          <c:w val="0.56534698620987767"/>
          <c:h val="0.53662725787595134"/>
        </c:manualLayout>
      </c:layout>
      <c:pie3DChart>
        <c:varyColors val="1"/>
        <c:ser>
          <c:idx val="0"/>
          <c:order val="0"/>
          <c:explosion val="25"/>
          <c:dLbls>
            <c:dLbl>
              <c:idx val="0"/>
              <c:layout>
                <c:manualLayout>
                  <c:x val="6.097856517935258E-2"/>
                  <c:y val="4.422389909594633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2AB-4F8E-A974-367F2188EA39}"/>
                </c:ext>
              </c:extLst>
            </c:dLbl>
            <c:dLbl>
              <c:idx val="1"/>
              <c:layout>
                <c:manualLayout>
                  <c:x val="0.15668744531933509"/>
                  <c:y val="0.11562117235345581"/>
                </c:manualLayout>
              </c:layout>
              <c:tx>
                <c:rich>
                  <a:bodyPr/>
                  <a:lstStyle/>
                  <a:p>
                    <a:fld id="{EA131F22-FE06-47E5-B3EB-A791F424ECB4}" type="CATEGORYNAME">
                      <a:rPr lang="lv-LV"/>
                      <a:pPr/>
                      <a:t>[KATEGORIJAS NOSAUKUMS]</a:t>
                    </a:fld>
                    <a:r>
                      <a:rPr lang="lv-LV" baseline="0"/>
                      <a:t>; </a:t>
                    </a:r>
                    <a:fld id="{4347CBEC-B1D8-4E64-8A4F-9F7E7CF7524B}" type="VALUE">
                      <a:rPr lang="lv-LV" baseline="0"/>
                      <a:pPr/>
                      <a:t>[VĒRTĪBA]</a:t>
                    </a:fld>
                    <a:r>
                      <a:rPr lang="lv-LV" baseline="0"/>
                      <a:t>; 93%</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2AB-4F8E-A974-367F2188EA39}"/>
                </c:ext>
              </c:extLst>
            </c:dLbl>
            <c:dLbl>
              <c:idx val="2"/>
              <c:layout>
                <c:manualLayout>
                  <c:x val="-0.14798009623797026"/>
                  <c:y val="5.362459900845727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2AB-4F8E-A974-367F2188EA39}"/>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Sheet2!$B$5:$B$7</c:f>
              <c:strCache>
                <c:ptCount val="2"/>
                <c:pt idx="0">
                  <c:v>Dabas resursu nodoklis</c:v>
                </c:pt>
                <c:pt idx="1">
                  <c:v>Autoceļu fonda līdzekļi</c:v>
                </c:pt>
              </c:strCache>
            </c:strRef>
          </c:cat>
          <c:val>
            <c:numRef>
              <c:f>Sheet2!$C$5:$C$7</c:f>
              <c:numCache>
                <c:formatCode>#,##0</c:formatCode>
                <c:ptCount val="3"/>
                <c:pt idx="0">
                  <c:v>28500</c:v>
                </c:pt>
                <c:pt idx="1">
                  <c:v>309000</c:v>
                </c:pt>
              </c:numCache>
            </c:numRef>
          </c:val>
          <c:extLst>
            <c:ext xmlns:c16="http://schemas.microsoft.com/office/drawing/2014/chart" uri="{C3380CC4-5D6E-409C-BE32-E72D297353CC}">
              <c16:uniqueId val="{00000003-92AB-4F8E-A974-367F2188EA39}"/>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Budžeta izdevumi atbilstoši</a:t>
            </a:r>
            <a:r>
              <a:rPr lang="lv-LV" baseline="0"/>
              <a:t> funkcionālajām kategorijām </a:t>
            </a:r>
          </a:p>
          <a:p>
            <a:pPr>
              <a:defRPr/>
            </a:pPr>
            <a:r>
              <a:rPr lang="lv-LV" baseline="0"/>
              <a:t>9 154 665 EUR</a:t>
            </a:r>
            <a:endParaRPr lang="lv-LV"/>
          </a:p>
        </c:rich>
      </c:tx>
      <c:layout>
        <c:manualLayout>
          <c:xMode val="edge"/>
          <c:yMode val="edge"/>
          <c:x val="0.20860088582677166"/>
          <c:y val="0"/>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9.1044347611888315E-2"/>
          <c:y val="0.40561340280226166"/>
          <c:w val="0.6121249779577338"/>
          <c:h val="0.59429871820039126"/>
        </c:manualLayout>
      </c:layout>
      <c:pie3DChart>
        <c:varyColors val="1"/>
        <c:ser>
          <c:idx val="0"/>
          <c:order val="0"/>
          <c:explosion val="12"/>
          <c:dLbls>
            <c:dLbl>
              <c:idx val="0"/>
              <c:layout>
                <c:manualLayout>
                  <c:x val="4.8862804186513648E-2"/>
                  <c:y val="-8.568126970705848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578-42DC-97E9-09F603C49D72}"/>
                </c:ext>
              </c:extLst>
            </c:dLbl>
            <c:dLbl>
              <c:idx val="1"/>
              <c:layout>
                <c:manualLayout>
                  <c:x val="9.4112796085674549E-2"/>
                  <c:y val="1.674505451919181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578-42DC-97E9-09F603C49D72}"/>
                </c:ext>
              </c:extLst>
            </c:dLbl>
            <c:dLbl>
              <c:idx val="2"/>
              <c:layout>
                <c:manualLayout>
                  <c:x val="0.13419582968795568"/>
                  <c:y val="8.4374688063320949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578-42DC-97E9-09F603C49D72}"/>
                </c:ext>
              </c:extLst>
            </c:dLbl>
            <c:dLbl>
              <c:idx val="3"/>
              <c:layout>
                <c:manualLayout>
                  <c:x val="5.4256018923560481E-2"/>
                  <c:y val="-5.5882377118967624E-2"/>
                </c:manualLayout>
              </c:layout>
              <c:tx>
                <c:rich>
                  <a:bodyPr/>
                  <a:lstStyle/>
                  <a:p>
                    <a:fld id="{D247CF77-53B2-4076-983F-15F5232D5FDF}" type="CATEGORYNAME">
                      <a:rPr lang="en-US"/>
                      <a:pPr/>
                      <a:t>[KATEGORIJAS NOSAUKUMS]</a:t>
                    </a:fld>
                    <a:r>
                      <a:rPr lang="en-US" baseline="0"/>
                      <a:t>;       </a:t>
                    </a:r>
                    <a:fld id="{1DDCF281-758F-45C4-90C3-CE7239883A3D}" type="VALUE">
                      <a:rPr lang="en-US" baseline="0"/>
                      <a:pPr/>
                      <a:t>[VĒRTĪBA]</a:t>
                    </a:fld>
                    <a:r>
                      <a:rPr lang="en-US" baseline="0"/>
                      <a:t>; </a:t>
                    </a:r>
                    <a:fld id="{EF9261EF-314A-4BBC-9125-3FD3C20A8F6A}" type="PERCENTAGE">
                      <a:rPr lang="en-US" baseline="0"/>
                      <a:pPr/>
                      <a:t>[PROCENTUĀLĀ VĒRTĪBA]</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578-42DC-97E9-09F603C49D72}"/>
                </c:ext>
              </c:extLst>
            </c:dLbl>
            <c:dLbl>
              <c:idx val="4"/>
              <c:layout>
                <c:manualLayout>
                  <c:x val="8.2281844399079748E-2"/>
                  <c:y val="-2.6253530389238257E-2"/>
                </c:manualLayout>
              </c:layout>
              <c:tx>
                <c:rich>
                  <a:bodyPr/>
                  <a:lstStyle/>
                  <a:p>
                    <a:fld id="{73051CEC-4F24-42CC-903E-6C6072FA9E17}" type="CATEGORYNAME">
                      <a:rPr lang="lv-LV"/>
                      <a:pPr/>
                      <a:t>[KATEGORIJAS NOSAUKUMS]</a:t>
                    </a:fld>
                    <a:r>
                      <a:rPr lang="lv-LV" baseline="0"/>
                      <a:t>;      </a:t>
                    </a:r>
                    <a:fld id="{EBB403EA-B6DC-4A4D-A325-0916A87BB1F6}" type="VALUE">
                      <a:rPr lang="lv-LV" baseline="0"/>
                      <a:pPr/>
                      <a:t>[VĒRTĪBA]</a:t>
                    </a:fld>
                    <a:r>
                      <a:rPr lang="lv-LV" baseline="0"/>
                      <a:t>; </a:t>
                    </a:r>
                    <a:fld id="{D8BCD3C5-8832-4F91-B27E-2F0A02250272}" type="PERCENTAGE">
                      <a:rPr lang="lv-LV" baseline="0"/>
                      <a:pPr/>
                      <a:t>[PROCENTUĀLĀ VĒRTĪBA]</a:t>
                    </a:fld>
                    <a:endParaRPr lang="lv-LV"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578-42DC-97E9-09F603C49D72}"/>
                </c:ext>
              </c:extLst>
            </c:dLbl>
            <c:dLbl>
              <c:idx val="5"/>
              <c:layout>
                <c:manualLayout>
                  <c:x val="0.18176841320760823"/>
                  <c:y val="-2.7867321953884373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578-42DC-97E9-09F603C49D72}"/>
                </c:ext>
              </c:extLst>
            </c:dLbl>
            <c:dLbl>
              <c:idx val="6"/>
              <c:layout>
                <c:manualLayout>
                  <c:x val="6.8149120248857786E-3"/>
                  <c:y val="-0.2403217718590545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578-42DC-97E9-09F603C49D72}"/>
                </c:ext>
              </c:extLst>
            </c:dLbl>
            <c:dLbl>
              <c:idx val="7"/>
              <c:layout>
                <c:manualLayout>
                  <c:x val="-7.8134771504946299E-3"/>
                  <c:y val="-1.9443629550423652E-2"/>
                </c:manualLayout>
              </c:layout>
              <c:tx>
                <c:rich>
                  <a:bodyPr/>
                  <a:lstStyle/>
                  <a:p>
                    <a:fld id="{EDE1FCEC-0ABD-4350-95F9-905C58C10503}" type="CATEGORYNAME">
                      <a:rPr lang="en-US"/>
                      <a:pPr/>
                      <a:t>[KATEGORIJAS NOSAUKUMS]</a:t>
                    </a:fld>
                    <a:r>
                      <a:rPr lang="en-US" baseline="0"/>
                      <a:t>;    </a:t>
                    </a:r>
                    <a:fld id="{539781F2-E884-451C-BF94-0CC1F3F2B6A2}" type="VALUE">
                      <a:rPr lang="en-US" baseline="0"/>
                      <a:pPr/>
                      <a:t>[VĒRTĪBA]</a:t>
                    </a:fld>
                    <a:r>
                      <a:rPr lang="en-US" baseline="0"/>
                      <a:t>; </a:t>
                    </a:r>
                    <a:fld id="{ACE1DBEE-FADE-474E-A89F-1AC660F9347F}" type="PERCENTAGE">
                      <a:rPr lang="en-US" baseline="0"/>
                      <a:pPr/>
                      <a:t>[PROCENTUĀLĀ VĒRTĪBA]</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578-42DC-97E9-09F603C49D72}"/>
                </c:ext>
              </c:extLst>
            </c:dLbl>
            <c:dLbl>
              <c:idx val="8"/>
              <c:layout>
                <c:manualLayout>
                  <c:x val="-1.1851115697916401E-2"/>
                  <c:y val="-0.1239323069690915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578-42DC-97E9-09F603C49D72}"/>
                </c:ext>
              </c:extLst>
            </c:dLbl>
            <c:spPr>
              <a:ln>
                <a:noFill/>
              </a:ln>
            </c:spPr>
            <c:showLegendKey val="0"/>
            <c:showVal val="1"/>
            <c:showCatName val="1"/>
            <c:showSerName val="0"/>
            <c:showPercent val="1"/>
            <c:showBubbleSize val="0"/>
            <c:showLeaderLines val="1"/>
            <c:extLst>
              <c:ext xmlns:c15="http://schemas.microsoft.com/office/drawing/2012/chart" uri="{CE6537A1-D6FC-4f65-9D91-7224C49458BB}"/>
            </c:extLst>
          </c:dLbls>
          <c:cat>
            <c:strRef>
              <c:f>Sheet3!$B$6:$B$14</c:f>
              <c:strCache>
                <c:ptCount val="9"/>
                <c:pt idx="0">
                  <c:v>Vispārējie valdības dienesti</c:v>
                </c:pt>
                <c:pt idx="1">
                  <c:v>Sabiedriskā kārtība un drošība</c:v>
                </c:pt>
                <c:pt idx="2">
                  <c:v>Ekonomiskā darbība</c:v>
                </c:pt>
                <c:pt idx="3">
                  <c:v>Vides aizsardzība</c:v>
                </c:pt>
                <c:pt idx="4">
                  <c:v>Pašvaldību teritoriju un mājokļu apsaimniekošana</c:v>
                </c:pt>
                <c:pt idx="5">
                  <c:v>Atpūta, kultūra, reliģija</c:v>
                </c:pt>
                <c:pt idx="6">
                  <c:v>Izglītība</c:v>
                </c:pt>
                <c:pt idx="7">
                  <c:v>Sociālā aizsardzība</c:v>
                </c:pt>
                <c:pt idx="8">
                  <c:v>Veselība</c:v>
                </c:pt>
              </c:strCache>
            </c:strRef>
          </c:cat>
          <c:val>
            <c:numRef>
              <c:f>Sheet3!$C$6:$C$14</c:f>
              <c:numCache>
                <c:formatCode>#,##0</c:formatCode>
                <c:ptCount val="9"/>
                <c:pt idx="0">
                  <c:v>640356</c:v>
                </c:pt>
                <c:pt idx="1">
                  <c:v>183440</c:v>
                </c:pt>
                <c:pt idx="2">
                  <c:v>1833493</c:v>
                </c:pt>
                <c:pt idx="3">
                  <c:v>2300</c:v>
                </c:pt>
                <c:pt idx="4">
                  <c:v>1435233</c:v>
                </c:pt>
                <c:pt idx="5">
                  <c:v>715681</c:v>
                </c:pt>
                <c:pt idx="6">
                  <c:v>3150674</c:v>
                </c:pt>
                <c:pt idx="7">
                  <c:v>1168057</c:v>
                </c:pt>
                <c:pt idx="8">
                  <c:v>25431</c:v>
                </c:pt>
              </c:numCache>
            </c:numRef>
          </c:val>
          <c:extLst>
            <c:ext xmlns:c16="http://schemas.microsoft.com/office/drawing/2014/chart" uri="{C3380CC4-5D6E-409C-BE32-E72D297353CC}">
              <c16:uniqueId val="{00000009-B578-42DC-97E9-09F603C49D72}"/>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lv-LV" sz="1800" b="1" i="0" u="none" strike="noStrike" kern="1200" spc="0" baseline="0">
                <a:solidFill>
                  <a:sysClr val="windowText" lastClr="000000"/>
                </a:solidFill>
                <a:latin typeface="+mn-lt"/>
                <a:ea typeface="+mn-ea"/>
                <a:cs typeface="+mn-cs"/>
              </a:defRPr>
            </a:pPr>
            <a:r>
              <a:rPr lang="lv-LV" sz="1800" b="1" i="0" u="none" strike="noStrike" kern="1200" baseline="0">
                <a:solidFill>
                  <a:sysClr val="windowText" lastClr="000000"/>
                </a:solidFill>
                <a:latin typeface="+mn-lt"/>
                <a:ea typeface="+mn-ea"/>
                <a:cs typeface="+mn-cs"/>
              </a:rPr>
              <a:t>Budžeta izdevumi atbilstoši ekonomiskajām kategorijām </a:t>
            </a:r>
          </a:p>
          <a:p>
            <a:pPr algn="ctr" rtl="0">
              <a:defRPr lang="lv-LV" sz="1800" b="1" i="0" u="none" strike="noStrike" kern="1200" spc="0" baseline="0">
                <a:solidFill>
                  <a:sysClr val="windowText" lastClr="000000"/>
                </a:solidFill>
                <a:latin typeface="+mn-lt"/>
                <a:ea typeface="+mn-ea"/>
                <a:cs typeface="+mn-cs"/>
              </a:defRPr>
            </a:pPr>
            <a:r>
              <a:rPr lang="lv-LV" sz="1800" b="1" i="0" u="none" strike="noStrike" kern="1200" baseline="0">
                <a:solidFill>
                  <a:sysClr val="windowText" lastClr="000000"/>
                </a:solidFill>
                <a:latin typeface="+mn-lt"/>
                <a:ea typeface="+mn-ea"/>
                <a:cs typeface="+mn-cs"/>
              </a:rPr>
              <a:t>9 154 665 EUR</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420697412823398E-2"/>
          <c:y val="0.47003064407524975"/>
          <c:w val="0.81388888888888888"/>
          <c:h val="0.5289993438320209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805-41F2-A26E-01F04959A8A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805-41F2-A26E-01F04959A8A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805-41F2-A26E-01F04959A8A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805-41F2-A26E-01F04959A8A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805-41F2-A26E-01F04959A8A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805-41F2-A26E-01F04959A8A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805-41F2-A26E-01F04959A8A5}"/>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C805-41F2-A26E-01F04959A8A5}"/>
              </c:ext>
            </c:extLst>
          </c:dPt>
          <c:dLbls>
            <c:dLbl>
              <c:idx val="0"/>
              <c:layout>
                <c:manualLayout>
                  <c:x val="-8.6959755030621179E-3"/>
                  <c:y val="-5.806357538641003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805-41F2-A26E-01F04959A8A5}"/>
                </c:ext>
              </c:extLst>
            </c:dLbl>
            <c:dLbl>
              <c:idx val="1"/>
              <c:layout>
                <c:manualLayout>
                  <c:x val="-0.10224567613087453"/>
                  <c:y val="-4.9810114517808174E-2"/>
                </c:manualLayout>
              </c:layout>
              <c:spPr>
                <a:noFill/>
                <a:ln>
                  <a:noFill/>
                </a:ln>
                <a:effectLst/>
              </c:spPr>
              <c:txPr>
                <a:bodyPr rot="0" spcFirstLastPara="1" vertOverflow="ellipsis" vert="horz" wrap="square" lIns="38100" tIns="19050" rIns="38100" bIns="19050" anchor="ctr" anchorCtr="0">
                  <a:noAutofit/>
                </a:bodyPr>
                <a:lstStyle/>
                <a:p>
                  <a:pPr algn="ctr">
                    <a:defRPr lang="lv-LV" sz="1000" b="0" i="0" u="none" strike="noStrike" kern="120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14248651329007325"/>
                      <c:h val="0.23226469596328392"/>
                    </c:manualLayout>
                  </c15:layout>
                </c:ext>
                <c:ext xmlns:c16="http://schemas.microsoft.com/office/drawing/2014/chart" uri="{C3380CC4-5D6E-409C-BE32-E72D297353CC}">
                  <c16:uniqueId val="{00000003-C805-41F2-A26E-01F04959A8A5}"/>
                </c:ext>
              </c:extLst>
            </c:dLbl>
            <c:dLbl>
              <c:idx val="4"/>
              <c:layout>
                <c:manualLayout>
                  <c:x val="-0.18936435062880985"/>
                  <c:y val="-5.7438085602428191E-2"/>
                </c:manualLayout>
              </c:layout>
              <c:spPr>
                <a:noFill/>
                <a:ln>
                  <a:noFill/>
                </a:ln>
                <a:effectLst/>
              </c:spPr>
              <c:txPr>
                <a:bodyPr rot="0" spcFirstLastPara="1" vertOverflow="ellipsis" vert="horz" wrap="square" lIns="38100" tIns="19050" rIns="38100" bIns="19050" anchor="ctr" anchorCtr="0">
                  <a:noAutofit/>
                </a:bodyPr>
                <a:lstStyle/>
                <a:p>
                  <a:pPr algn="ctr">
                    <a:defRPr lang="lv-LV" sz="1000" b="0" i="0" u="none" strike="noStrike" kern="120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6307283250831431"/>
                      <c:h val="0.10208566108007448"/>
                    </c:manualLayout>
                  </c15:layout>
                </c:ext>
                <c:ext xmlns:c16="http://schemas.microsoft.com/office/drawing/2014/chart" uri="{C3380CC4-5D6E-409C-BE32-E72D297353CC}">
                  <c16:uniqueId val="{00000009-C805-41F2-A26E-01F04959A8A5}"/>
                </c:ext>
              </c:extLst>
            </c:dLbl>
            <c:dLbl>
              <c:idx val="6"/>
              <c:layout>
                <c:manualLayout>
                  <c:x val="0.22044397137654209"/>
                  <c:y val="-4.812709863780993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805-41F2-A26E-01F04959A8A5}"/>
                </c:ext>
              </c:extLst>
            </c:dLbl>
            <c:spPr>
              <a:noFill/>
              <a:ln>
                <a:noFill/>
              </a:ln>
              <a:effectLst/>
            </c:spPr>
            <c:txPr>
              <a:bodyPr rot="0" spcFirstLastPara="1" vertOverflow="ellipsis" vert="horz" wrap="square" lIns="38100" tIns="19050" rIns="38100" bIns="19050" anchor="ctr" anchorCtr="0">
                <a:spAutoFit/>
              </a:bodyPr>
              <a:lstStyle/>
              <a:p>
                <a:pPr algn="ctr">
                  <a:defRPr lang="lv-LV" sz="1000" b="0" i="0" u="none" strike="noStrike" kern="1200" baseline="0">
                    <a:solidFill>
                      <a:schemeClr val="tx1"/>
                    </a:solidFill>
                    <a:latin typeface="+mn-lt"/>
                    <a:ea typeface="+mn-ea"/>
                    <a:cs typeface="+mn-cs"/>
                  </a:defRPr>
                </a:pPr>
                <a:endParaRPr lang="lv-LV"/>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Sheet4!$B$6:$B$13</c:f>
              <c:strCache>
                <c:ptCount val="7"/>
                <c:pt idx="0">
                  <c:v>Atlīdzība</c:v>
                </c:pt>
                <c:pt idx="1">
                  <c:v>Preces un pakalpojumi</c:v>
                </c:pt>
                <c:pt idx="3">
                  <c:v>Pamatkapitāla veidošana</c:v>
                </c:pt>
                <c:pt idx="4">
                  <c:v>Sociālie pabalsti</c:v>
                </c:pt>
                <c:pt idx="5">
                  <c:v>Uzturēšanas izdevumu transferti</c:v>
                </c:pt>
                <c:pt idx="6">
                  <c:v>Subsīdijas un dotācijas</c:v>
                </c:pt>
              </c:strCache>
            </c:strRef>
          </c:cat>
          <c:val>
            <c:numRef>
              <c:f>Sheet4!$C$6:$C$13</c:f>
              <c:numCache>
                <c:formatCode>#,##0</c:formatCode>
                <c:ptCount val="8"/>
                <c:pt idx="0">
                  <c:v>4148588</c:v>
                </c:pt>
                <c:pt idx="1">
                  <c:v>2652878</c:v>
                </c:pt>
                <c:pt idx="3">
                  <c:v>2056851</c:v>
                </c:pt>
                <c:pt idx="4">
                  <c:v>183256</c:v>
                </c:pt>
                <c:pt idx="5">
                  <c:v>87185</c:v>
                </c:pt>
                <c:pt idx="6">
                  <c:v>25907</c:v>
                </c:pt>
              </c:numCache>
            </c:numRef>
          </c:val>
          <c:extLst>
            <c:ext xmlns:c16="http://schemas.microsoft.com/office/drawing/2014/chart" uri="{C3380CC4-5D6E-409C-BE32-E72D297353CC}">
              <c16:uniqueId val="{00000010-C805-41F2-A26E-01F04959A8A5}"/>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Vispārējie</a:t>
            </a:r>
            <a:r>
              <a:rPr lang="lv-LV" baseline="0"/>
              <a:t> valdības dienesti </a:t>
            </a:r>
          </a:p>
          <a:p>
            <a:pPr>
              <a:defRPr/>
            </a:pPr>
            <a:r>
              <a:rPr lang="lv-LV" baseline="0"/>
              <a:t>640 356 EUR</a:t>
            </a:r>
            <a:endParaRPr lang="lv-LV"/>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488105653459983"/>
          <c:y val="0.35005797908701924"/>
          <c:w val="0.6166666666666667"/>
          <c:h val="0.58796296296296291"/>
        </c:manualLayout>
      </c:layout>
      <c:pie3DChart>
        <c:varyColors val="1"/>
        <c:ser>
          <c:idx val="0"/>
          <c:order val="0"/>
          <c:explosion val="25"/>
          <c:dLbls>
            <c:dLbl>
              <c:idx val="0"/>
              <c:layout>
                <c:manualLayout>
                  <c:x val="0.36303753697454494"/>
                  <c:y val="-0.16192111402741324"/>
                </c:manualLayout>
              </c:layout>
              <c:showLegendKey val="0"/>
              <c:showVal val="1"/>
              <c:showCatName val="1"/>
              <c:showSerName val="0"/>
              <c:showPercent val="1"/>
              <c:showBubbleSize val="0"/>
              <c:extLst>
                <c:ext xmlns:c15="http://schemas.microsoft.com/office/drawing/2012/chart" uri="{CE6537A1-D6FC-4f65-9D91-7224C49458BB}">
                  <c15:layout>
                    <c:manualLayout>
                      <c:w val="0.27109798775153104"/>
                      <c:h val="0.27449105839262056"/>
                    </c:manualLayout>
                  </c15:layout>
                </c:ext>
                <c:ext xmlns:c16="http://schemas.microsoft.com/office/drawing/2014/chart" uri="{C3380CC4-5D6E-409C-BE32-E72D297353CC}">
                  <c16:uniqueId val="{00000000-EDFD-4D36-94CC-048256D7E4FE}"/>
                </c:ext>
              </c:extLst>
            </c:dLbl>
            <c:dLbl>
              <c:idx val="1"/>
              <c:layout>
                <c:manualLayout>
                  <c:x val="-0.27802982960463274"/>
                  <c:y val="0.16777578043902069"/>
                </c:manualLayout>
              </c:layout>
              <c:tx>
                <c:rich>
                  <a:bodyPr/>
                  <a:lstStyle/>
                  <a:p>
                    <a:r>
                      <a:rPr lang="en-US" baseline="0"/>
                      <a:t>Pašvaldību budžetu iekšējā valsts parāda darījumi; </a:t>
                    </a:r>
                    <a:fld id="{D35563B9-9581-4DDE-B63E-1FE222D57EB1}" type="VALUE">
                      <a:rPr lang="en-US" baseline="0"/>
                      <a:pPr/>
                      <a:t>[VĒRTĪBA]</a:t>
                    </a:fld>
                    <a:r>
                      <a:rPr lang="en-US" baseline="0"/>
                      <a:t>; </a:t>
                    </a:r>
                    <a:fld id="{032AAC4A-8AA4-4D46-B307-5A2EC02EBC75}" type="PERCENTAGE">
                      <a:rPr lang="en-US" baseline="0"/>
                      <a:pPr/>
                      <a:t>[PROCENTUĀLĀ VĒRTĪBA]</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DFD-4D36-94CC-048256D7E4FE}"/>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Sheet5!$B$6:$B$7</c:f>
              <c:strCache>
                <c:ptCount val="2"/>
                <c:pt idx="0">
                  <c:v>Izpildvaras un likumdošanas varas institūcijas</c:v>
                </c:pt>
                <c:pt idx="1">
                  <c:v>Pašvaldību budžetu iekšsējā valsts parāda darījumi</c:v>
                </c:pt>
              </c:strCache>
            </c:strRef>
          </c:cat>
          <c:val>
            <c:numRef>
              <c:f>Sheet5!$C$6:$C$7</c:f>
              <c:numCache>
                <c:formatCode>#,##0</c:formatCode>
                <c:ptCount val="2"/>
                <c:pt idx="0">
                  <c:v>633306</c:v>
                </c:pt>
                <c:pt idx="1">
                  <c:v>7050</c:v>
                </c:pt>
              </c:numCache>
            </c:numRef>
          </c:val>
          <c:extLst>
            <c:ext xmlns:c16="http://schemas.microsoft.com/office/drawing/2014/chart" uri="{C3380CC4-5D6E-409C-BE32-E72D297353CC}">
              <c16:uniqueId val="{00000002-EDFD-4D36-94CC-048256D7E4FE}"/>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Sabiedriskā</a:t>
            </a:r>
            <a:r>
              <a:rPr lang="lv-LV" baseline="0"/>
              <a:t> kārtība un drošība </a:t>
            </a:r>
          </a:p>
          <a:p>
            <a:pPr>
              <a:defRPr/>
            </a:pPr>
            <a:r>
              <a:rPr lang="lv-LV" baseline="0"/>
              <a:t>183 440 EUR</a:t>
            </a:r>
            <a:endParaRPr lang="lv-LV"/>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875"/>
          <c:y val="0.40509259259259262"/>
          <c:w val="0.62222222222222223"/>
          <c:h val="0.58796296296296291"/>
        </c:manualLayout>
      </c:layout>
      <c:pie3DChart>
        <c:varyColors val="1"/>
        <c:ser>
          <c:idx val="0"/>
          <c:order val="0"/>
          <c:explosion val="30"/>
          <c:dLbls>
            <c:dLbl>
              <c:idx val="0"/>
              <c:layout>
                <c:manualLayout>
                  <c:x val="0.12239621609798775"/>
                  <c:y val="2.94666812481773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DEF-471B-BAF4-D3508EFA4842}"/>
                </c:ext>
              </c:extLst>
            </c:dLbl>
            <c:dLbl>
              <c:idx val="1"/>
              <c:layout>
                <c:manualLayout>
                  <c:x val="-0.33257458442694665"/>
                  <c:y val="-0.2365277777777777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EF-471B-BAF4-D3508EFA4842}"/>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Sheet6!$B$5:$B$6</c:f>
              <c:strCache>
                <c:ptCount val="2"/>
                <c:pt idx="1">
                  <c:v>Bāriņtiesas</c:v>
                </c:pt>
              </c:strCache>
            </c:strRef>
          </c:cat>
          <c:val>
            <c:numRef>
              <c:f>Sheet6!$C$5:$C$6</c:f>
              <c:numCache>
                <c:formatCode>#,##0</c:formatCode>
                <c:ptCount val="2"/>
                <c:pt idx="1">
                  <c:v>183440</c:v>
                </c:pt>
              </c:numCache>
            </c:numRef>
          </c:val>
          <c:extLst>
            <c:ext xmlns:c16="http://schemas.microsoft.com/office/drawing/2014/chart" uri="{C3380CC4-5D6E-409C-BE32-E72D297353CC}">
              <c16:uniqueId val="{00000002-5DEF-471B-BAF4-D3508EFA4842}"/>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lv-LV" sz="1800" b="1" i="0" u="none" strike="noStrike" kern="1200" spc="0" baseline="0">
                <a:solidFill>
                  <a:sysClr val="windowText" lastClr="000000"/>
                </a:solidFill>
                <a:latin typeface="+mn-lt"/>
                <a:ea typeface="+mn-ea"/>
                <a:cs typeface="+mn-cs"/>
              </a:defRPr>
            </a:pPr>
            <a:r>
              <a:rPr lang="lv-LV" sz="1800" b="1" i="0" u="none" strike="noStrike" kern="1200" baseline="0">
                <a:solidFill>
                  <a:sysClr val="windowText" lastClr="000000"/>
                </a:solidFill>
                <a:latin typeface="+mn-lt"/>
                <a:ea typeface="+mn-ea"/>
                <a:cs typeface="+mn-cs"/>
              </a:rPr>
              <a:t>Ekonomiskā darbība </a:t>
            </a:r>
          </a:p>
          <a:p>
            <a:pPr algn="ctr" rtl="0">
              <a:defRPr lang="lv-LV" sz="1800" b="1" i="0" u="none" strike="noStrike" kern="1200" spc="0" baseline="0">
                <a:solidFill>
                  <a:sysClr val="windowText" lastClr="000000"/>
                </a:solidFill>
                <a:latin typeface="+mn-lt"/>
                <a:ea typeface="+mn-ea"/>
                <a:cs typeface="+mn-cs"/>
              </a:defRPr>
            </a:pPr>
            <a:r>
              <a:rPr lang="lv-LV" sz="1800" b="1" i="0" u="none" strike="noStrike" kern="1200" baseline="0">
                <a:solidFill>
                  <a:sysClr val="windowText" lastClr="000000"/>
                </a:solidFill>
                <a:latin typeface="+mn-lt"/>
                <a:ea typeface="+mn-ea"/>
                <a:cs typeface="+mn-cs"/>
              </a:rPr>
              <a:t>1 833 493 EUR</a:t>
            </a:r>
          </a:p>
        </c:rich>
      </c:tx>
      <c:layout>
        <c:manualLayout>
          <c:xMode val="edge"/>
          <c:yMode val="edge"/>
          <c:x val="0.33307241006638877"/>
          <c:y val="2.8588229355945887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075709189602066E-2"/>
          <c:y val="0.26719399315591885"/>
          <c:w val="0.82959264766826746"/>
          <c:h val="0.64434619090335232"/>
        </c:manualLayout>
      </c:layout>
      <c:pie3DChart>
        <c:varyColors val="1"/>
        <c:ser>
          <c:idx val="0"/>
          <c:order val="0"/>
          <c:spPr>
            <a:ln>
              <a:noFill/>
            </a:ln>
          </c:spPr>
          <c:dPt>
            <c:idx val="0"/>
            <c:bubble3D val="0"/>
            <c:spPr>
              <a:solidFill>
                <a:schemeClr val="accent1"/>
              </a:solidFill>
              <a:ln w="25400">
                <a:noFill/>
              </a:ln>
              <a:effectLst/>
              <a:sp3d/>
            </c:spPr>
            <c:extLst>
              <c:ext xmlns:c16="http://schemas.microsoft.com/office/drawing/2014/chart" uri="{C3380CC4-5D6E-409C-BE32-E72D297353CC}">
                <c16:uniqueId val="{00000001-EE99-4CF9-8B2D-458D7A747CBF}"/>
              </c:ext>
            </c:extLst>
          </c:dPt>
          <c:dPt>
            <c:idx val="1"/>
            <c:bubble3D val="0"/>
            <c:spPr>
              <a:solidFill>
                <a:schemeClr val="accent2"/>
              </a:solidFill>
              <a:ln w="25400">
                <a:noFill/>
              </a:ln>
              <a:effectLst/>
              <a:sp3d/>
            </c:spPr>
            <c:extLst>
              <c:ext xmlns:c16="http://schemas.microsoft.com/office/drawing/2014/chart" uri="{C3380CC4-5D6E-409C-BE32-E72D297353CC}">
                <c16:uniqueId val="{00000003-EE99-4CF9-8B2D-458D7A747CBF}"/>
              </c:ext>
            </c:extLst>
          </c:dPt>
          <c:dPt>
            <c:idx val="2"/>
            <c:bubble3D val="0"/>
            <c:spPr>
              <a:solidFill>
                <a:schemeClr val="accent3"/>
              </a:solidFill>
              <a:ln w="25400">
                <a:noFill/>
              </a:ln>
              <a:effectLst/>
              <a:sp3d/>
            </c:spPr>
            <c:extLst>
              <c:ext xmlns:c16="http://schemas.microsoft.com/office/drawing/2014/chart" uri="{C3380CC4-5D6E-409C-BE32-E72D297353CC}">
                <c16:uniqueId val="{00000005-EE99-4CF9-8B2D-458D7A747CBF}"/>
              </c:ext>
            </c:extLst>
          </c:dPt>
          <c:dPt>
            <c:idx val="3"/>
            <c:bubble3D val="0"/>
            <c:spPr>
              <a:solidFill>
                <a:schemeClr val="accent4"/>
              </a:solidFill>
              <a:ln w="25400">
                <a:noFill/>
              </a:ln>
              <a:effectLst/>
              <a:sp3d/>
            </c:spPr>
            <c:extLst>
              <c:ext xmlns:c16="http://schemas.microsoft.com/office/drawing/2014/chart" uri="{C3380CC4-5D6E-409C-BE32-E72D297353CC}">
                <c16:uniqueId val="{00000007-EE99-4CF9-8B2D-458D7A747CBF}"/>
              </c:ext>
            </c:extLst>
          </c:dPt>
          <c:dPt>
            <c:idx val="4"/>
            <c:bubble3D val="0"/>
            <c:spPr>
              <a:solidFill>
                <a:schemeClr val="accent5"/>
              </a:solidFill>
              <a:ln w="25400">
                <a:noFill/>
              </a:ln>
              <a:effectLst/>
              <a:sp3d/>
            </c:spPr>
            <c:extLst>
              <c:ext xmlns:c16="http://schemas.microsoft.com/office/drawing/2014/chart" uri="{C3380CC4-5D6E-409C-BE32-E72D297353CC}">
                <c16:uniqueId val="{00000009-EE99-4CF9-8B2D-458D7A747CBF}"/>
              </c:ext>
            </c:extLst>
          </c:dPt>
          <c:dPt>
            <c:idx val="5"/>
            <c:bubble3D val="0"/>
            <c:spPr>
              <a:solidFill>
                <a:schemeClr val="accent6"/>
              </a:solidFill>
              <a:ln w="25400">
                <a:noFill/>
              </a:ln>
              <a:effectLst/>
              <a:sp3d/>
            </c:spPr>
            <c:extLst>
              <c:ext xmlns:c16="http://schemas.microsoft.com/office/drawing/2014/chart" uri="{C3380CC4-5D6E-409C-BE32-E72D297353CC}">
                <c16:uniqueId val="{0000000B-EE99-4CF9-8B2D-458D7A747CBF}"/>
              </c:ext>
            </c:extLst>
          </c:dPt>
          <c:dLbls>
            <c:dLbl>
              <c:idx val="0"/>
              <c:layout>
                <c:manualLayout>
                  <c:x val="0.25054466230936817"/>
                  <c:y val="-3.2634262063395918E-2"/>
                </c:manualLayout>
              </c:layout>
              <c:spPr>
                <a:noFill/>
                <a:ln>
                  <a:noFill/>
                </a:ln>
                <a:effectLst/>
              </c:spPr>
              <c:txPr>
                <a:bodyPr rot="0" spcFirstLastPara="1" vertOverflow="ellipsis" vert="horz" wrap="square" lIns="38100" tIns="19050" rIns="38100" bIns="19050" anchor="ctr" anchorCtr="0">
                  <a:noAutofit/>
                </a:bodyPr>
                <a:lstStyle/>
                <a:p>
                  <a:pPr algn="ctr">
                    <a:defRPr lang="lv-LV" sz="1000" b="0" i="0" u="none" strike="noStrike" kern="120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23202614379084968"/>
                      <c:h val="0.24919871794871795"/>
                    </c:manualLayout>
                  </c15:layout>
                </c:ext>
                <c:ext xmlns:c16="http://schemas.microsoft.com/office/drawing/2014/chart" uri="{C3380CC4-5D6E-409C-BE32-E72D297353CC}">
                  <c16:uniqueId val="{00000001-EE99-4CF9-8B2D-458D7A747CBF}"/>
                </c:ext>
              </c:extLst>
            </c:dLbl>
            <c:dLbl>
              <c:idx val="1"/>
              <c:layout>
                <c:manualLayout>
                  <c:x val="0.14856483625821265"/>
                  <c:y val="0.1062449525540076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E99-4CF9-8B2D-458D7A747CBF}"/>
                </c:ext>
              </c:extLst>
            </c:dLbl>
            <c:dLbl>
              <c:idx val="2"/>
              <c:tx>
                <c:rich>
                  <a:bodyPr/>
                  <a:lstStyle/>
                  <a:p>
                    <a:fld id="{932DC398-8E14-462B-BAAA-59246F366DA8}" type="CATEGORYNAME">
                      <a:rPr lang="en-US"/>
                      <a:pPr/>
                      <a:t>[KATEGORIJAS NOSAUKUMS]</a:t>
                    </a:fld>
                    <a:r>
                      <a:rPr lang="en-US" baseline="0"/>
                      <a:t>;        </a:t>
                    </a:r>
                    <a:fld id="{CB7B26EE-71EA-4348-B6A6-5D88A16E2158}" type="VALUE">
                      <a:rPr lang="en-US" baseline="0"/>
                      <a:pPr/>
                      <a:t>[VĒRTĪBA]</a:t>
                    </a:fld>
                    <a:r>
                      <a:rPr lang="en-US" baseline="0"/>
                      <a:t>; </a:t>
                    </a:r>
                    <a:fld id="{A7F81B70-185D-4EF8-A55F-1A210F1AB52D}" type="PERCENTAGE">
                      <a:rPr lang="en-US" baseline="0"/>
                      <a:pPr/>
                      <a:t>[PROCENTUĀLĀ VĒRTĪBA]</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E99-4CF9-8B2D-458D7A747CBF}"/>
                </c:ext>
              </c:extLst>
            </c:dLbl>
            <c:dLbl>
              <c:idx val="3"/>
              <c:layout>
                <c:manualLayout>
                  <c:x val="-0.12750587549105383"/>
                  <c:y val="0.1238983949121744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E99-4CF9-8B2D-458D7A747CBF}"/>
                </c:ext>
              </c:extLst>
            </c:dLbl>
            <c:dLbl>
              <c:idx val="4"/>
              <c:layout>
                <c:manualLayout>
                  <c:x val="-0.15558386084092429"/>
                  <c:y val="-1.362179487179487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E99-4CF9-8B2D-458D7A747CBF}"/>
                </c:ext>
              </c:extLst>
            </c:dLbl>
            <c:dLbl>
              <c:idx val="5"/>
              <c:tx>
                <c:rich>
                  <a:bodyPr/>
                  <a:lstStyle/>
                  <a:p>
                    <a:fld id="{6610C4B0-123F-4002-B31D-63192450E981}" type="CATEGORYNAME">
                      <a:rPr lang="en-US"/>
                      <a:pPr/>
                      <a:t>[KATEGORIJAS NOSAUKUMS]</a:t>
                    </a:fld>
                    <a:r>
                      <a:rPr lang="en-US" baseline="0"/>
                      <a:t>;  </a:t>
                    </a:r>
                    <a:fld id="{36B2420F-41D1-4C70-8D76-B8239F905311}" type="VALUE">
                      <a:rPr lang="en-US" baseline="0"/>
                      <a:pPr/>
                      <a:t>[VĒRTĪBA]</a:t>
                    </a:fld>
                    <a:r>
                      <a:rPr lang="en-US" baseline="0"/>
                      <a:t>; </a:t>
                    </a:r>
                    <a:fld id="{73BC17A6-26DD-4AB8-98CB-61A46354EBA4}" type="PERCENTAGE">
                      <a:rPr lang="en-US" baseline="0"/>
                      <a:pPr/>
                      <a:t>[PROCENTUĀLĀ VĒRTĪBA]</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E99-4CF9-8B2D-458D7A747CBF}"/>
                </c:ext>
              </c:extLst>
            </c:dLbl>
            <c:spPr>
              <a:noFill/>
              <a:ln>
                <a:noFill/>
              </a:ln>
              <a:effectLst/>
            </c:spPr>
            <c:txPr>
              <a:bodyPr rot="0" spcFirstLastPara="1" vertOverflow="ellipsis" vert="horz" wrap="square" lIns="38100" tIns="19050" rIns="38100" bIns="19050" anchor="ctr" anchorCtr="0">
                <a:spAutoFit/>
              </a:bodyPr>
              <a:lstStyle/>
              <a:p>
                <a:pPr algn="ctr">
                  <a:defRPr lang="lv-LV" sz="1000" b="0" i="0" u="none" strike="noStrike" kern="1200" baseline="0">
                    <a:solidFill>
                      <a:schemeClr val="tx1"/>
                    </a:solidFill>
                    <a:latin typeface="+mn-lt"/>
                    <a:ea typeface="+mn-ea"/>
                    <a:cs typeface="+mn-cs"/>
                  </a:defRPr>
                </a:pPr>
                <a:endParaRPr lang="lv-LV"/>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Sheet7!$B$5:$B$10</c:f>
              <c:strCache>
                <c:ptCount val="6"/>
                <c:pt idx="0">
                  <c:v>Vispārēju nodarbinātības jautājumu vadība un pakalpojumi </c:v>
                </c:pt>
                <c:pt idx="1">
                  <c:v>Būvniecība</c:v>
                </c:pt>
                <c:pt idx="2">
                  <c:v>Autotransports</c:v>
                </c:pt>
                <c:pt idx="3">
                  <c:v>Tūrisms</c:v>
                </c:pt>
                <c:pt idx="4">
                  <c:v>Pārējā citur neklasif. ekonomiskā darbība</c:v>
                </c:pt>
                <c:pt idx="5">
                  <c:v>Lauksaimniecība</c:v>
                </c:pt>
              </c:strCache>
            </c:strRef>
          </c:cat>
          <c:val>
            <c:numRef>
              <c:f>Sheet7!$C$5:$C$10</c:f>
              <c:numCache>
                <c:formatCode>#,##0</c:formatCode>
                <c:ptCount val="6"/>
                <c:pt idx="0">
                  <c:v>55423</c:v>
                </c:pt>
                <c:pt idx="1">
                  <c:v>88688</c:v>
                </c:pt>
                <c:pt idx="2">
                  <c:v>1446742</c:v>
                </c:pt>
                <c:pt idx="3">
                  <c:v>156321</c:v>
                </c:pt>
                <c:pt idx="4">
                  <c:v>86269</c:v>
                </c:pt>
                <c:pt idx="5" formatCode="General">
                  <c:v>50</c:v>
                </c:pt>
              </c:numCache>
            </c:numRef>
          </c:val>
          <c:extLst>
            <c:ext xmlns:c16="http://schemas.microsoft.com/office/drawing/2014/chart" uri="{C3380CC4-5D6E-409C-BE32-E72D297353CC}">
              <c16:uniqueId val="{0000000C-EE99-4CF9-8B2D-458D7A747CBF}"/>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lv-LV" sz="1800" b="1" i="0" u="none" strike="noStrike" kern="1200" spc="0" baseline="0">
                <a:solidFill>
                  <a:sysClr val="windowText" lastClr="000000"/>
                </a:solidFill>
                <a:latin typeface="+mn-lt"/>
                <a:ea typeface="+mn-ea"/>
                <a:cs typeface="+mn-cs"/>
              </a:defRPr>
            </a:pPr>
            <a:r>
              <a:rPr lang="lv-LV" sz="1800" b="1" i="0" u="none" strike="noStrike" kern="1200" baseline="0">
                <a:solidFill>
                  <a:sysClr val="windowText" lastClr="000000"/>
                </a:solidFill>
                <a:latin typeface="+mn-lt"/>
                <a:ea typeface="+mn-ea"/>
                <a:cs typeface="+mn-cs"/>
              </a:rPr>
              <a:t>Vides aizsardzība </a:t>
            </a:r>
          </a:p>
          <a:p>
            <a:pPr algn="ctr" rtl="0">
              <a:defRPr lang="lv-LV" sz="1800" b="1" i="0" u="none" strike="noStrike" kern="1200" spc="0" baseline="0">
                <a:solidFill>
                  <a:sysClr val="windowText" lastClr="000000"/>
                </a:solidFill>
                <a:latin typeface="+mn-lt"/>
                <a:ea typeface="+mn-ea"/>
                <a:cs typeface="+mn-cs"/>
              </a:defRPr>
            </a:pPr>
            <a:r>
              <a:rPr lang="lv-LV" sz="1800" b="1" i="0" u="none" strike="noStrike" kern="1200" baseline="0">
                <a:solidFill>
                  <a:sysClr val="windowText" lastClr="000000"/>
                </a:solidFill>
                <a:latin typeface="+mn-lt"/>
                <a:ea typeface="+mn-ea"/>
                <a:cs typeface="+mn-cs"/>
              </a:rPr>
              <a:t>2 300 EUR</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7E5-4ABB-930D-0C3C4EC003DA}"/>
              </c:ext>
            </c:extLst>
          </c:dPt>
          <c:dPt>
            <c:idx val="1"/>
            <c:bubble3D val="0"/>
            <c:explosion val="11"/>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7E5-4ABB-930D-0C3C4EC003D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7E5-4ABB-930D-0C3C4EC003DA}"/>
              </c:ext>
            </c:extLst>
          </c:dPt>
          <c:dLbls>
            <c:dLbl>
              <c:idx val="0"/>
              <c:layout>
                <c:manualLayout>
                  <c:x val="-0.21275021872265965"/>
                  <c:y val="-3.2249562554680665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2869444444444445"/>
                      <c:h val="0.18340296004666085"/>
                    </c:manualLayout>
                  </c15:layout>
                </c:ext>
                <c:ext xmlns:c16="http://schemas.microsoft.com/office/drawing/2014/chart" uri="{C3380CC4-5D6E-409C-BE32-E72D297353CC}">
                  <c16:uniqueId val="{00000001-F7E5-4ABB-930D-0C3C4EC003DA}"/>
                </c:ext>
              </c:extLst>
            </c:dLbl>
            <c:dLbl>
              <c:idx val="1"/>
              <c:layout>
                <c:manualLayout>
                  <c:x val="2.9145778652668416E-2"/>
                  <c:y val="3.65077282006415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7E5-4ABB-930D-0C3C4EC003DA}"/>
                </c:ext>
              </c:extLst>
            </c:dLbl>
            <c:dLbl>
              <c:idx val="2"/>
              <c:layout>
                <c:manualLayout>
                  <c:x val="-0.24409820647419073"/>
                  <c:y val="5.479111986001750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7E5-4ABB-930D-0C3C4EC003DA}"/>
                </c:ext>
              </c:extLst>
            </c:dLbl>
            <c:spPr>
              <a:noFill/>
              <a:ln>
                <a:noFill/>
              </a:ln>
              <a:effectLst/>
            </c:spPr>
            <c:txPr>
              <a:bodyPr rot="0" spcFirstLastPara="1" vertOverflow="ellipsis" vert="horz" wrap="square" lIns="38100" tIns="19050" rIns="38100" bIns="19050" anchor="ctr" anchorCtr="0">
                <a:spAutoFit/>
              </a:bodyPr>
              <a:lstStyle/>
              <a:p>
                <a:pPr algn="ctr">
                  <a:defRPr lang="lv-LV" sz="1000" b="0" i="0" u="none" strike="noStrike" kern="1200" baseline="0">
                    <a:solidFill>
                      <a:schemeClr val="tx1"/>
                    </a:solidFill>
                    <a:latin typeface="+mn-lt"/>
                    <a:ea typeface="+mn-ea"/>
                    <a:cs typeface="+mn-cs"/>
                  </a:defRPr>
                </a:pPr>
                <a:endParaRPr lang="lv-LV"/>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Sheet8!$B$5:$B$7</c:f>
              <c:strCache>
                <c:ptCount val="1"/>
                <c:pt idx="0">
                  <c:v>Atkritumu apsaimniekošana</c:v>
                </c:pt>
              </c:strCache>
            </c:strRef>
          </c:cat>
          <c:val>
            <c:numRef>
              <c:f>Sheet8!$C$5:$C$7</c:f>
              <c:numCache>
                <c:formatCode>General</c:formatCode>
                <c:ptCount val="3"/>
                <c:pt idx="0">
                  <c:v>2300</c:v>
                </c:pt>
              </c:numCache>
            </c:numRef>
          </c:val>
          <c:extLst>
            <c:ext xmlns:c16="http://schemas.microsoft.com/office/drawing/2014/chart" uri="{C3380CC4-5D6E-409C-BE32-E72D297353CC}">
              <c16:uniqueId val="{00000006-F7E5-4ABB-930D-0C3C4EC003DA}"/>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Pašvaldību</a:t>
            </a:r>
            <a:r>
              <a:rPr lang="lv-LV" baseline="0"/>
              <a:t> teritoriju un mājokļu apsaimniekošana</a:t>
            </a:r>
          </a:p>
          <a:p>
            <a:pPr>
              <a:defRPr/>
            </a:pPr>
            <a:r>
              <a:rPr lang="lv-LV" baseline="0"/>
              <a:t>1 435 233 EUR</a:t>
            </a:r>
            <a:endParaRPr lang="lv-LV"/>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2916666666666666"/>
          <c:y val="0.38657407407407407"/>
          <c:w val="0.63888888888888884"/>
          <c:h val="0.61111111111111116"/>
        </c:manualLayout>
      </c:layout>
      <c:pie3DChart>
        <c:varyColors val="1"/>
        <c:ser>
          <c:idx val="0"/>
          <c:order val="0"/>
          <c:explosion val="25"/>
          <c:dLbls>
            <c:dLbl>
              <c:idx val="0"/>
              <c:layout>
                <c:manualLayout>
                  <c:x val="3.6184601924759405E-2"/>
                  <c:y val="-1.8740940964468993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FE3-43F5-843A-957E85301F44}"/>
                </c:ext>
              </c:extLst>
            </c:dLbl>
            <c:dLbl>
              <c:idx val="1"/>
              <c:layout>
                <c:manualLayout>
                  <c:x val="1.2293307086614174E-2"/>
                  <c:y val="-2.273545657539076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FE3-43F5-843A-957E85301F44}"/>
                </c:ext>
              </c:extLst>
            </c:dLbl>
            <c:dLbl>
              <c:idx val="2"/>
              <c:layout>
                <c:manualLayout>
                  <c:x val="-3.1361986001749782E-2"/>
                  <c:y val="-8.032843655737062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FE3-43F5-843A-957E85301F44}"/>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Sheet9!$B$5:$B$7</c:f>
              <c:strCache>
                <c:ptCount val="3"/>
                <c:pt idx="0">
                  <c:v>Teritoriju attīstība</c:v>
                </c:pt>
                <c:pt idx="1">
                  <c:v>Ūdensapgāde</c:v>
                </c:pt>
                <c:pt idx="2">
                  <c:v>Pārējā citur neklasificētā pašvaldību teritoriju un mājokļu apsaimniekošana</c:v>
                </c:pt>
              </c:strCache>
            </c:strRef>
          </c:cat>
          <c:val>
            <c:numRef>
              <c:f>Sheet9!$C$5:$C$7</c:f>
              <c:numCache>
                <c:formatCode>General</c:formatCode>
                <c:ptCount val="3"/>
                <c:pt idx="0">
                  <c:v>154179</c:v>
                </c:pt>
                <c:pt idx="1">
                  <c:v>269709</c:v>
                </c:pt>
                <c:pt idx="2">
                  <c:v>1011345</c:v>
                </c:pt>
              </c:numCache>
            </c:numRef>
          </c:val>
          <c:extLst>
            <c:ext xmlns:c16="http://schemas.microsoft.com/office/drawing/2014/chart" uri="{C3380CC4-5D6E-409C-BE32-E72D297353CC}">
              <c16:uniqueId val="{00000003-AFE3-43F5-843A-957E85301F44}"/>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E2933-7C47-47A2-A616-D6FE2208E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4587</Words>
  <Characters>2616</Characters>
  <Application>Microsoft Office Word</Application>
  <DocSecurity>0</DocSecurity>
  <Lines>21</Lines>
  <Paragraphs>14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Inguna</dc:creator>
  <cp:lastModifiedBy>Ausma</cp:lastModifiedBy>
  <cp:revision>3</cp:revision>
  <cp:lastPrinted>2017-06-14T13:34:00Z</cp:lastPrinted>
  <dcterms:created xsi:type="dcterms:W3CDTF">2020-01-27T09:46:00Z</dcterms:created>
  <dcterms:modified xsi:type="dcterms:W3CDTF">2020-01-27T09:46:00Z</dcterms:modified>
</cp:coreProperties>
</file>